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C7" w:rsidRPr="00194CC7" w:rsidRDefault="00194CC7" w:rsidP="00194CC7">
      <w:pPr>
        <w:spacing w:after="0" w:line="240" w:lineRule="auto"/>
        <w:rPr>
          <w:rFonts w:ascii="Times New Roman" w:eastAsia="Times New Roman" w:hAnsi="Times New Roman" w:cs="Times New Roman"/>
          <w:b/>
          <w:bCs/>
          <w:color w:val="000000"/>
        </w:rPr>
      </w:pPr>
      <w:bookmarkStart w:id="0" w:name="_GoBack"/>
      <w:bookmarkEnd w:id="0"/>
      <w:proofErr w:type="spellStart"/>
      <w:r w:rsidRPr="00194CC7">
        <w:rPr>
          <w:rFonts w:ascii="Times New Roman" w:eastAsia="Times New Roman" w:hAnsi="Times New Roman" w:cs="Times New Roman"/>
          <w:b/>
          <w:bCs/>
          <w:color w:val="000000"/>
        </w:rPr>
        <w:t>Mutaz</w:t>
      </w:r>
      <w:proofErr w:type="spellEnd"/>
      <w:r w:rsidRPr="00194CC7">
        <w:rPr>
          <w:rFonts w:ascii="Times New Roman" w:eastAsia="Times New Roman" w:hAnsi="Times New Roman" w:cs="Times New Roman"/>
          <w:b/>
          <w:bCs/>
          <w:color w:val="000000"/>
        </w:rPr>
        <w:t xml:space="preserve"> M. </w:t>
      </w:r>
      <w:proofErr w:type="spellStart"/>
      <w:r w:rsidRPr="00194CC7">
        <w:rPr>
          <w:rFonts w:ascii="Times New Roman" w:eastAsia="Times New Roman" w:hAnsi="Times New Roman" w:cs="Times New Roman"/>
          <w:b/>
          <w:bCs/>
          <w:color w:val="000000"/>
        </w:rPr>
        <w:t>Qafisheh</w:t>
      </w:r>
      <w:proofErr w:type="spellEnd"/>
      <w:r w:rsidRPr="00194CC7">
        <w:rPr>
          <w:rFonts w:ascii="Times New Roman" w:eastAsia="Times New Roman" w:hAnsi="Times New Roman" w:cs="Times New Roman"/>
          <w:b/>
          <w:bCs/>
          <w:color w:val="000000"/>
        </w:rPr>
        <w:t>, ‘</w:t>
      </w:r>
      <w:r w:rsidRPr="00194CC7">
        <w:rPr>
          <w:rFonts w:ascii="Times New Roman" w:eastAsia="Times New Roman" w:hAnsi="Times New Roman" w:cs="Times New Roman"/>
          <w:b/>
          <w:bCs/>
          <w:color w:val="000000"/>
          <w:shd w:val="clear" w:color="auto" w:fill="FFFFFF"/>
        </w:rPr>
        <w:t xml:space="preserve">What is Palestine? The </w:t>
      </w:r>
      <w:r w:rsidRPr="00194CC7">
        <w:rPr>
          <w:rFonts w:ascii="Times New Roman" w:eastAsia="Times New Roman" w:hAnsi="Times New Roman" w:cs="Times New Roman"/>
          <w:b/>
          <w:bCs/>
          <w:i/>
          <w:iCs/>
          <w:color w:val="000000"/>
          <w:shd w:val="clear" w:color="auto" w:fill="FFFFFF"/>
        </w:rPr>
        <w:t>de jure</w:t>
      </w:r>
      <w:r w:rsidRPr="00194CC7">
        <w:rPr>
          <w:rFonts w:ascii="Times New Roman" w:eastAsia="Times New Roman" w:hAnsi="Times New Roman" w:cs="Times New Roman"/>
          <w:b/>
          <w:bCs/>
          <w:color w:val="000000"/>
          <w:shd w:val="clear" w:color="auto" w:fill="FFFFFF"/>
        </w:rPr>
        <w:t xml:space="preserve"> Demarcation of Boundaries for the ICC’s </w:t>
      </w:r>
      <w:proofErr w:type="spellStart"/>
      <w:r w:rsidRPr="00194CC7">
        <w:rPr>
          <w:rFonts w:ascii="Times New Roman" w:eastAsia="Times New Roman" w:hAnsi="Times New Roman" w:cs="Times New Roman"/>
          <w:b/>
          <w:bCs/>
          <w:i/>
          <w:iCs/>
          <w:color w:val="000000"/>
          <w:shd w:val="clear" w:color="auto" w:fill="FFFFFF"/>
        </w:rPr>
        <w:t>ratione</w:t>
      </w:r>
      <w:proofErr w:type="spellEnd"/>
      <w:r w:rsidRPr="00194CC7">
        <w:rPr>
          <w:rFonts w:ascii="Times New Roman" w:eastAsia="Times New Roman" w:hAnsi="Times New Roman" w:cs="Times New Roman"/>
          <w:b/>
          <w:bCs/>
          <w:i/>
          <w:iCs/>
          <w:color w:val="000000"/>
          <w:shd w:val="clear" w:color="auto" w:fill="FFFFFF"/>
        </w:rPr>
        <w:t xml:space="preserve"> loci</w:t>
      </w:r>
      <w:r w:rsidRPr="00194CC7">
        <w:rPr>
          <w:rFonts w:ascii="Times New Roman" w:eastAsia="Times New Roman" w:hAnsi="Times New Roman" w:cs="Times New Roman"/>
          <w:b/>
          <w:bCs/>
          <w:color w:val="000000"/>
          <w:shd w:val="clear" w:color="auto" w:fill="FFFFFF"/>
        </w:rPr>
        <w:t xml:space="preserve"> Jurisdiction and Beyond’, </w:t>
      </w:r>
      <w:r w:rsidRPr="00194CC7">
        <w:rPr>
          <w:rFonts w:ascii="Times New Roman" w:eastAsia="Times New Roman" w:hAnsi="Times New Roman" w:cs="Times New Roman"/>
          <w:b/>
          <w:bCs/>
          <w:i/>
          <w:iCs/>
          <w:color w:val="000000"/>
          <w:shd w:val="clear" w:color="auto" w:fill="FFFFFF"/>
        </w:rPr>
        <w:t xml:space="preserve">International Criminal Law Review </w:t>
      </w:r>
      <w:r w:rsidRPr="00194CC7">
        <w:rPr>
          <w:rFonts w:ascii="Times New Roman" w:eastAsia="Times New Roman" w:hAnsi="Times New Roman" w:cs="Times New Roman"/>
          <w:b/>
          <w:bCs/>
          <w:color w:val="FF0000"/>
          <w:bdr w:val="none" w:sz="0" w:space="0" w:color="auto" w:frame="1"/>
          <w:shd w:val="clear" w:color="auto" w:fill="FFFFFF"/>
        </w:rPr>
        <w:t xml:space="preserve">(Scopus </w:t>
      </w:r>
      <w:proofErr w:type="spellStart"/>
      <w:r>
        <w:rPr>
          <w:rFonts w:ascii="Times New Roman" w:eastAsia="Times New Roman" w:hAnsi="Times New Roman" w:cs="Times New Roman"/>
          <w:b/>
          <w:bCs/>
          <w:color w:val="FF0000"/>
          <w:bdr w:val="none" w:sz="0" w:space="0" w:color="auto" w:frame="1"/>
          <w:shd w:val="clear" w:color="auto" w:fill="FFFFFF"/>
        </w:rPr>
        <w:t>CiteScore</w:t>
      </w:r>
      <w:proofErr w:type="spellEnd"/>
      <w:r>
        <w:rPr>
          <w:rFonts w:ascii="Times New Roman" w:eastAsia="Times New Roman" w:hAnsi="Times New Roman" w:cs="Times New Roman"/>
          <w:b/>
          <w:bCs/>
          <w:color w:val="FF0000"/>
          <w:bdr w:val="none" w:sz="0" w:space="0" w:color="auto" w:frame="1"/>
          <w:shd w:val="clear" w:color="auto" w:fill="FFFFFF"/>
        </w:rPr>
        <w:t>: 1.00; 2020</w:t>
      </w:r>
      <w:r w:rsidRPr="00194CC7">
        <w:rPr>
          <w:rFonts w:ascii="Times New Roman" w:eastAsia="Times New Roman" w:hAnsi="Times New Roman" w:cs="Times New Roman"/>
          <w:b/>
          <w:bCs/>
          <w:color w:val="FF0000"/>
          <w:bdr w:val="none" w:sz="0" w:space="0" w:color="auto" w:frame="1"/>
          <w:shd w:val="clear" w:color="auto" w:fill="FFFFFF"/>
        </w:rPr>
        <w:t xml:space="preserve"> RG  impact factor 0.23)</w:t>
      </w:r>
      <w:r w:rsidRPr="00194CC7">
        <w:rPr>
          <w:rFonts w:ascii="Times New Roman" w:eastAsia="Times New Roman" w:hAnsi="Times New Roman" w:cs="Times New Roman"/>
          <w:b/>
          <w:bCs/>
          <w:color w:val="000000"/>
          <w:shd w:val="clear" w:color="auto" w:fill="FFFFFF"/>
        </w:rPr>
        <w:t>, Brill/</w:t>
      </w:r>
      <w:proofErr w:type="spellStart"/>
      <w:r w:rsidRPr="00194CC7">
        <w:rPr>
          <w:rFonts w:ascii="Times New Roman" w:eastAsia="Times New Roman" w:hAnsi="Times New Roman" w:cs="Times New Roman"/>
          <w:b/>
          <w:bCs/>
          <w:color w:val="000000"/>
          <w:shd w:val="clear" w:color="auto" w:fill="FFFFFF"/>
        </w:rPr>
        <w:t>Nijhof</w:t>
      </w:r>
      <w:proofErr w:type="spellEnd"/>
      <w:r w:rsidRPr="00194CC7">
        <w:rPr>
          <w:rFonts w:ascii="Times New Roman" w:eastAsia="Times New Roman" w:hAnsi="Times New Roman" w:cs="Times New Roman"/>
          <w:b/>
          <w:bCs/>
          <w:color w:val="000000"/>
          <w:shd w:val="clear" w:color="auto" w:fill="FFFFFF"/>
        </w:rPr>
        <w:t>, Leiden</w:t>
      </w:r>
      <w:r w:rsidRPr="00194CC7">
        <w:rPr>
          <w:rFonts w:ascii="Times New Roman" w:eastAsia="Times New Roman" w:hAnsi="Times New Roman" w:cs="Times New Roman"/>
          <w:b/>
          <w:bCs/>
          <w:color w:val="000000"/>
        </w:rPr>
        <w:t>, Vol. 20, No. 5, 2020, 908-943.</w:t>
      </w:r>
    </w:p>
    <w:p w:rsidR="00194CC7" w:rsidRPr="00194CC7" w:rsidRDefault="00194CC7" w:rsidP="00194CC7">
      <w:pPr>
        <w:spacing w:after="0" w:line="240" w:lineRule="auto"/>
        <w:rPr>
          <w:rFonts w:ascii="Times New Roman" w:eastAsia="Times New Roman" w:hAnsi="Times New Roman" w:cs="Times New Roman"/>
          <w:color w:val="000000"/>
        </w:rPr>
      </w:pPr>
    </w:p>
    <w:p w:rsidR="00194CC7" w:rsidRDefault="00194CC7" w:rsidP="00194CC7">
      <w:pPr>
        <w:spacing w:line="240" w:lineRule="auto"/>
        <w:rPr>
          <w:rFonts w:ascii="Georgia" w:eastAsia="Times New Roman" w:hAnsi="Georgia" w:cs="Times New Roman"/>
          <w:color w:val="2B2B2B"/>
          <w:sz w:val="24"/>
          <w:szCs w:val="24"/>
        </w:rPr>
      </w:pPr>
    </w:p>
    <w:p w:rsidR="00194CC7" w:rsidRDefault="00194CC7" w:rsidP="00194CC7">
      <w:pPr>
        <w:spacing w:line="240" w:lineRule="auto"/>
        <w:rPr>
          <w:rFonts w:ascii="Georgia" w:eastAsia="Times New Roman" w:hAnsi="Georgia" w:cs="Times New Roman"/>
          <w:color w:val="2B2B2B"/>
          <w:sz w:val="24"/>
          <w:szCs w:val="24"/>
        </w:rPr>
      </w:pPr>
      <w:r>
        <w:rPr>
          <w:rFonts w:ascii="Georgia" w:eastAsia="Times New Roman" w:hAnsi="Georgia" w:cs="Times New Roman"/>
          <w:color w:val="2B2B2B"/>
          <w:sz w:val="24"/>
          <w:szCs w:val="24"/>
        </w:rPr>
        <w:t>Abstract</w:t>
      </w:r>
    </w:p>
    <w:p w:rsidR="00474D3F" w:rsidRPr="00194CC7" w:rsidRDefault="00194CC7" w:rsidP="00194CC7">
      <w:pPr>
        <w:spacing w:line="240" w:lineRule="auto"/>
        <w:rPr>
          <w:rFonts w:ascii="Georgia" w:eastAsia="Times New Roman" w:hAnsi="Georgia" w:cs="Times New Roman"/>
          <w:color w:val="FFFFFF"/>
          <w:sz w:val="27"/>
          <w:szCs w:val="27"/>
        </w:rPr>
      </w:pPr>
      <w:r w:rsidRPr="00194CC7">
        <w:rPr>
          <w:rFonts w:ascii="Georgia" w:eastAsia="Times New Roman" w:hAnsi="Georgia" w:cs="Times New Roman"/>
          <w:color w:val="2B2B2B"/>
          <w:sz w:val="24"/>
          <w:szCs w:val="24"/>
        </w:rPr>
        <w:t>The boundaries between Palestine and Israel are legally demarcated under international law. The </w:t>
      </w:r>
      <w:proofErr w:type="spellStart"/>
      <w:r w:rsidRPr="00194CC7">
        <w:rPr>
          <w:rFonts w:ascii="Georgia" w:eastAsia="Times New Roman" w:hAnsi="Georgia" w:cs="Times New Roman"/>
          <w:smallCaps/>
          <w:color w:val="2B2B2B"/>
          <w:sz w:val="24"/>
          <w:szCs w:val="24"/>
        </w:rPr>
        <w:t>icc</w:t>
      </w:r>
      <w:proofErr w:type="spellEnd"/>
      <w:r w:rsidRPr="00194CC7">
        <w:rPr>
          <w:rFonts w:ascii="Georgia" w:eastAsia="Times New Roman" w:hAnsi="Georgia" w:cs="Times New Roman"/>
          <w:color w:val="2B2B2B"/>
          <w:sz w:val="24"/>
          <w:szCs w:val="24"/>
        </w:rPr>
        <w:t> is entitled to exercise its </w:t>
      </w:r>
      <w:proofErr w:type="spellStart"/>
      <w:r w:rsidRPr="00194CC7">
        <w:rPr>
          <w:rFonts w:ascii="Georgia" w:eastAsia="Times New Roman" w:hAnsi="Georgia" w:cs="Times New Roman"/>
          <w:i/>
          <w:iCs/>
          <w:color w:val="2B2B2B"/>
          <w:sz w:val="24"/>
          <w:szCs w:val="24"/>
        </w:rPr>
        <w:t>ratione</w:t>
      </w:r>
      <w:proofErr w:type="spellEnd"/>
      <w:r w:rsidRPr="00194CC7">
        <w:rPr>
          <w:rFonts w:ascii="Georgia" w:eastAsia="Times New Roman" w:hAnsi="Georgia" w:cs="Times New Roman"/>
          <w:i/>
          <w:iCs/>
          <w:color w:val="2B2B2B"/>
          <w:sz w:val="24"/>
          <w:szCs w:val="24"/>
        </w:rPr>
        <w:t xml:space="preserve"> loci</w:t>
      </w:r>
      <w:r w:rsidRPr="00194CC7">
        <w:rPr>
          <w:rFonts w:ascii="Georgia" w:eastAsia="Times New Roman" w:hAnsi="Georgia" w:cs="Times New Roman"/>
          <w:color w:val="2B2B2B"/>
          <w:sz w:val="24"/>
          <w:szCs w:val="24"/>
        </w:rPr>
        <w:t> jurisdiction over Palestine’s territory that comprises the West Bank, including East Jerusalem, and Gaza Strip. Palestine’s borders have arisen from the lines drawn by the armistice agreements that Israel signed with both Jordan and Egypt in 1949. Although initially marked on </w:t>
      </w:r>
      <w:r w:rsidRPr="00194CC7">
        <w:rPr>
          <w:rFonts w:ascii="Georgia" w:eastAsia="Times New Roman" w:hAnsi="Georgia" w:cs="Times New Roman"/>
          <w:i/>
          <w:iCs/>
          <w:color w:val="2B2B2B"/>
          <w:sz w:val="24"/>
          <w:szCs w:val="24"/>
        </w:rPr>
        <w:t>de facto</w:t>
      </w:r>
      <w:r w:rsidRPr="00194CC7">
        <w:rPr>
          <w:rFonts w:ascii="Georgia" w:eastAsia="Times New Roman" w:hAnsi="Georgia" w:cs="Times New Roman"/>
          <w:color w:val="2B2B2B"/>
          <w:sz w:val="24"/>
          <w:szCs w:val="24"/>
        </w:rPr>
        <w:t> basis, these lines have been converted into </w:t>
      </w:r>
      <w:r w:rsidRPr="00194CC7">
        <w:rPr>
          <w:rFonts w:ascii="Georgia" w:eastAsia="Times New Roman" w:hAnsi="Georgia" w:cs="Times New Roman"/>
          <w:i/>
          <w:iCs/>
          <w:color w:val="2B2B2B"/>
          <w:sz w:val="24"/>
          <w:szCs w:val="24"/>
        </w:rPr>
        <w:t>de jure</w:t>
      </w:r>
      <w:r>
        <w:rPr>
          <w:rFonts w:ascii="Georgia" w:eastAsia="Times New Roman" w:hAnsi="Georgia" w:cs="Times New Roman"/>
          <w:i/>
          <w:iCs/>
          <w:color w:val="2B2B2B"/>
          <w:sz w:val="24"/>
          <w:szCs w:val="24"/>
        </w:rPr>
        <w:t xml:space="preserve"> </w:t>
      </w:r>
      <w:r w:rsidRPr="00194CC7">
        <w:rPr>
          <w:rFonts w:ascii="Georgia" w:eastAsia="Times New Roman" w:hAnsi="Georgia" w:cs="Times New Roman"/>
          <w:color w:val="2B2B2B"/>
          <w:sz w:val="24"/>
          <w:szCs w:val="24"/>
        </w:rPr>
        <w:t>frontiers. By declaring that it possesses the power to adjudicate in Palestine, the Court will apply international law, not create it. Accepting the contention that the </w:t>
      </w:r>
      <w:proofErr w:type="spellStart"/>
      <w:r w:rsidRPr="00194CC7">
        <w:rPr>
          <w:rFonts w:ascii="Georgia" w:eastAsia="Times New Roman" w:hAnsi="Georgia" w:cs="Times New Roman"/>
          <w:smallCaps/>
          <w:color w:val="2B2B2B"/>
          <w:sz w:val="24"/>
          <w:szCs w:val="24"/>
        </w:rPr>
        <w:t>icc</w:t>
      </w:r>
      <w:proofErr w:type="spellEnd"/>
      <w:r w:rsidRPr="00194CC7">
        <w:rPr>
          <w:rFonts w:ascii="Georgia" w:eastAsia="Times New Roman" w:hAnsi="Georgia" w:cs="Times New Roman"/>
          <w:color w:val="2B2B2B"/>
          <w:sz w:val="24"/>
          <w:szCs w:val="24"/>
        </w:rPr>
        <w:t> has no competence in a State owing to its unfixed borders may hinder the Court’s ability to prosecute perpetrators in other </w:t>
      </w:r>
      <w:proofErr w:type="spellStart"/>
      <w:r w:rsidRPr="00194CC7">
        <w:rPr>
          <w:rFonts w:ascii="Georgia" w:eastAsia="Times New Roman" w:hAnsi="Georgia" w:cs="Times New Roman"/>
          <w:smallCaps/>
          <w:color w:val="2B2B2B"/>
          <w:sz w:val="24"/>
          <w:szCs w:val="24"/>
        </w:rPr>
        <w:t>icc</w:t>
      </w:r>
      <w:proofErr w:type="spellEnd"/>
      <w:r w:rsidRPr="00194CC7">
        <w:rPr>
          <w:rFonts w:ascii="Georgia" w:eastAsia="Times New Roman" w:hAnsi="Georgia" w:cs="Times New Roman"/>
          <w:color w:val="2B2B2B"/>
          <w:sz w:val="24"/>
          <w:szCs w:val="24"/>
        </w:rPr>
        <w:t> State Parties with disputed frontiers. It will hamper the Court’s authority regarding non-</w:t>
      </w:r>
      <w:proofErr w:type="spellStart"/>
      <w:r w:rsidRPr="00194CC7">
        <w:rPr>
          <w:rFonts w:ascii="Georgia" w:eastAsia="Times New Roman" w:hAnsi="Georgia" w:cs="Times New Roman"/>
          <w:smallCaps/>
          <w:color w:val="2B2B2B"/>
          <w:sz w:val="24"/>
          <w:szCs w:val="24"/>
        </w:rPr>
        <w:t>icc</w:t>
      </w:r>
      <w:proofErr w:type="spellEnd"/>
      <w:r w:rsidRPr="00194CC7">
        <w:rPr>
          <w:rFonts w:ascii="Georgia" w:eastAsia="Times New Roman" w:hAnsi="Georgia" w:cs="Times New Roman"/>
          <w:color w:val="2B2B2B"/>
          <w:sz w:val="24"/>
          <w:szCs w:val="24"/>
        </w:rPr>
        <w:t> States with similar border issues that may join the Rome Statute in the future.</w:t>
      </w:r>
    </w:p>
    <w:sectPr w:rsidR="00474D3F" w:rsidRPr="0019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5CA"/>
    <w:multiLevelType w:val="hybridMultilevel"/>
    <w:tmpl w:val="D6007EA8"/>
    <w:lvl w:ilvl="0" w:tplc="72AA449E">
      <w:start w:val="16"/>
      <w:numFmt w:val="bullet"/>
      <w:lvlText w:val=""/>
      <w:lvlJc w:val="left"/>
      <w:pPr>
        <w:tabs>
          <w:tab w:val="num" w:pos="720"/>
        </w:tabs>
        <w:ind w:left="720" w:hanging="360"/>
      </w:pPr>
      <w:rPr>
        <w:rFonts w:ascii="Symbol" w:eastAsia="Times New Roman" w:hAnsi="Symbol" w:cs="Times New Roman" w:hint="default"/>
        <w:lang w:val="en-G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0B4510"/>
    <w:multiLevelType w:val="multilevel"/>
    <w:tmpl w:val="7F48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7073C"/>
    <w:multiLevelType w:val="multilevel"/>
    <w:tmpl w:val="7382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63A59"/>
    <w:multiLevelType w:val="multilevel"/>
    <w:tmpl w:val="5E56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C7"/>
    <w:rsid w:val="00194CC7"/>
    <w:rsid w:val="00474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4001">
      <w:bodyDiv w:val="1"/>
      <w:marLeft w:val="0"/>
      <w:marRight w:val="0"/>
      <w:marTop w:val="0"/>
      <w:marBottom w:val="0"/>
      <w:divBdr>
        <w:top w:val="none" w:sz="0" w:space="0" w:color="auto"/>
        <w:left w:val="none" w:sz="0" w:space="0" w:color="auto"/>
        <w:bottom w:val="none" w:sz="0" w:space="0" w:color="auto"/>
        <w:right w:val="none" w:sz="0" w:space="0" w:color="auto"/>
      </w:divBdr>
      <w:divsChild>
        <w:div w:id="2112124178">
          <w:marLeft w:val="480"/>
          <w:marRight w:val="480"/>
          <w:marTop w:val="480"/>
          <w:marBottom w:val="480"/>
          <w:divBdr>
            <w:top w:val="none" w:sz="0" w:space="0" w:color="auto"/>
            <w:left w:val="none" w:sz="0" w:space="0" w:color="auto"/>
            <w:bottom w:val="none" w:sz="0" w:space="0" w:color="auto"/>
            <w:right w:val="none" w:sz="0" w:space="0" w:color="auto"/>
          </w:divBdr>
          <w:divsChild>
            <w:div w:id="1707288749">
              <w:marLeft w:val="0"/>
              <w:marRight w:val="0"/>
              <w:marTop w:val="0"/>
              <w:marBottom w:val="0"/>
              <w:divBdr>
                <w:top w:val="none" w:sz="0" w:space="0" w:color="auto"/>
                <w:left w:val="none" w:sz="0" w:space="0" w:color="auto"/>
                <w:bottom w:val="none" w:sz="0" w:space="0" w:color="auto"/>
                <w:right w:val="none" w:sz="0" w:space="0" w:color="auto"/>
              </w:divBdr>
              <w:divsChild>
                <w:div w:id="1564100242">
                  <w:marLeft w:val="0"/>
                  <w:marRight w:val="0"/>
                  <w:marTop w:val="0"/>
                  <w:marBottom w:val="480"/>
                  <w:divBdr>
                    <w:top w:val="none" w:sz="0" w:space="0" w:color="auto"/>
                    <w:left w:val="none" w:sz="0" w:space="0" w:color="auto"/>
                    <w:bottom w:val="none" w:sz="0" w:space="0" w:color="auto"/>
                    <w:right w:val="none" w:sz="0" w:space="0" w:color="auto"/>
                  </w:divBdr>
                  <w:divsChild>
                    <w:div w:id="181208924">
                      <w:marLeft w:val="0"/>
                      <w:marRight w:val="0"/>
                      <w:marTop w:val="0"/>
                      <w:marBottom w:val="0"/>
                      <w:divBdr>
                        <w:top w:val="none" w:sz="0" w:space="0" w:color="auto"/>
                        <w:left w:val="none" w:sz="0" w:space="0" w:color="auto"/>
                        <w:bottom w:val="none" w:sz="0" w:space="0" w:color="auto"/>
                        <w:right w:val="none" w:sz="0" w:space="0" w:color="auto"/>
                      </w:divBdr>
                      <w:divsChild>
                        <w:div w:id="700782067">
                          <w:marLeft w:val="0"/>
                          <w:marRight w:val="0"/>
                          <w:marTop w:val="0"/>
                          <w:marBottom w:val="0"/>
                          <w:divBdr>
                            <w:top w:val="none" w:sz="0" w:space="0" w:color="auto"/>
                            <w:left w:val="none" w:sz="0" w:space="0" w:color="auto"/>
                            <w:bottom w:val="none" w:sz="0" w:space="0" w:color="auto"/>
                            <w:right w:val="none" w:sz="0" w:space="0" w:color="auto"/>
                          </w:divBdr>
                          <w:divsChild>
                            <w:div w:id="364137438">
                              <w:marLeft w:val="120"/>
                              <w:marRight w:val="480"/>
                              <w:marTop w:val="480"/>
                              <w:marBottom w:val="480"/>
                              <w:divBdr>
                                <w:top w:val="none" w:sz="0" w:space="0" w:color="auto"/>
                                <w:left w:val="none" w:sz="0" w:space="0" w:color="auto"/>
                                <w:bottom w:val="none" w:sz="0" w:space="0" w:color="auto"/>
                                <w:right w:val="none" w:sz="0" w:space="0" w:color="auto"/>
                              </w:divBdr>
                              <w:divsChild>
                                <w:div w:id="438262424">
                                  <w:marLeft w:val="0"/>
                                  <w:marRight w:val="0"/>
                                  <w:marTop w:val="0"/>
                                  <w:marBottom w:val="0"/>
                                  <w:divBdr>
                                    <w:top w:val="none" w:sz="0" w:space="0" w:color="auto"/>
                                    <w:left w:val="none" w:sz="0" w:space="0" w:color="auto"/>
                                    <w:bottom w:val="none" w:sz="0" w:space="0" w:color="auto"/>
                                    <w:right w:val="none" w:sz="0" w:space="0" w:color="auto"/>
                                  </w:divBdr>
                                  <w:divsChild>
                                    <w:div w:id="209925394">
                                      <w:marLeft w:val="0"/>
                                      <w:marRight w:val="0"/>
                                      <w:marTop w:val="0"/>
                                      <w:marBottom w:val="0"/>
                                      <w:divBdr>
                                        <w:top w:val="none" w:sz="0" w:space="0" w:color="auto"/>
                                        <w:left w:val="none" w:sz="0" w:space="0" w:color="auto"/>
                                        <w:bottom w:val="none" w:sz="0" w:space="0" w:color="auto"/>
                                        <w:right w:val="none" w:sz="0" w:space="0" w:color="auto"/>
                                      </w:divBdr>
                                      <w:divsChild>
                                        <w:div w:id="1258900742">
                                          <w:marLeft w:val="0"/>
                                          <w:marRight w:val="0"/>
                                          <w:marTop w:val="0"/>
                                          <w:marBottom w:val="0"/>
                                          <w:divBdr>
                                            <w:top w:val="none" w:sz="0" w:space="0" w:color="auto"/>
                                            <w:left w:val="none" w:sz="0" w:space="0" w:color="auto"/>
                                            <w:bottom w:val="none" w:sz="0" w:space="0" w:color="auto"/>
                                            <w:right w:val="none" w:sz="0" w:space="0" w:color="auto"/>
                                          </w:divBdr>
                                          <w:divsChild>
                                            <w:div w:id="6073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012022">
          <w:marLeft w:val="0"/>
          <w:marRight w:val="0"/>
          <w:marTop w:val="0"/>
          <w:marBottom w:val="0"/>
          <w:divBdr>
            <w:top w:val="none" w:sz="0" w:space="0" w:color="auto"/>
            <w:left w:val="none" w:sz="0" w:space="0" w:color="auto"/>
            <w:bottom w:val="none" w:sz="0" w:space="0" w:color="auto"/>
            <w:right w:val="none" w:sz="0" w:space="0" w:color="auto"/>
          </w:divBdr>
          <w:divsChild>
            <w:div w:id="320621956">
              <w:marLeft w:val="0"/>
              <w:marRight w:val="0"/>
              <w:marTop w:val="0"/>
              <w:marBottom w:val="0"/>
              <w:divBdr>
                <w:top w:val="none" w:sz="0" w:space="0" w:color="auto"/>
                <w:left w:val="none" w:sz="0" w:space="0" w:color="auto"/>
                <w:bottom w:val="none" w:sz="0" w:space="0" w:color="auto"/>
                <w:right w:val="none" w:sz="0" w:space="0" w:color="auto"/>
              </w:divBdr>
              <w:divsChild>
                <w:div w:id="105924765">
                  <w:marLeft w:val="0"/>
                  <w:marRight w:val="0"/>
                  <w:marTop w:val="240"/>
                  <w:marBottom w:val="0"/>
                  <w:divBdr>
                    <w:top w:val="none" w:sz="0" w:space="0" w:color="auto"/>
                    <w:left w:val="none" w:sz="0" w:space="0" w:color="auto"/>
                    <w:bottom w:val="none" w:sz="0" w:space="0" w:color="auto"/>
                    <w:right w:val="none" w:sz="0" w:space="0" w:color="auto"/>
                  </w:divBdr>
                  <w:divsChild>
                    <w:div w:id="145442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2020-10-02T14:59:00Z</dcterms:created>
  <dcterms:modified xsi:type="dcterms:W3CDTF">2020-10-02T15:05:00Z</dcterms:modified>
</cp:coreProperties>
</file>