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DE" w:rsidRDefault="00BD4FDE" w:rsidP="00BD4F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FDE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BD4FDE" w:rsidRPr="00BD4FDE" w:rsidRDefault="00BD4FDE" w:rsidP="00BD4FD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C3736" w:rsidRPr="00BD4FDE" w:rsidRDefault="00BD4FDE" w:rsidP="00BD4F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Palestine’</w:t>
      </w:r>
      <w:r w:rsidRPr="00BD4FDE">
        <w:rPr>
          <w:rFonts w:asciiTheme="majorBidi" w:hAnsiTheme="majorBidi" w:cstheme="majorBidi"/>
          <w:sz w:val="24"/>
          <w:szCs w:val="24"/>
        </w:rPr>
        <w:t xml:space="preserve">s clinical legal education system is clearly in transition. Despite the achievements over the past few </w:t>
      </w:r>
      <w:bookmarkStart w:id="0" w:name="_GoBack"/>
      <w:bookmarkEnd w:id="0"/>
      <w:r w:rsidRPr="00BD4FDE">
        <w:rPr>
          <w:rFonts w:asciiTheme="majorBidi" w:hAnsiTheme="majorBidi" w:cstheme="majorBidi"/>
          <w:sz w:val="24"/>
          <w:szCs w:val="24"/>
        </w:rPr>
        <w:t>years, the future of clinical legal pedagogy in the country remains uncertain. It may take many years for legal clinics to take a firm root in the framework of legal education and professional training. Much needs to be done to refo</w:t>
      </w:r>
      <w:r>
        <w:rPr>
          <w:rFonts w:asciiTheme="majorBidi" w:hAnsiTheme="majorBidi" w:cstheme="majorBidi"/>
          <w:sz w:val="24"/>
          <w:szCs w:val="24"/>
        </w:rPr>
        <w:t>rm legal education in Palestine</w:t>
      </w:r>
      <w:r w:rsidRPr="00BD4FDE">
        <w:rPr>
          <w:rFonts w:asciiTheme="majorBidi" w:hAnsiTheme="majorBidi" w:cstheme="majorBidi"/>
          <w:sz w:val="24"/>
          <w:szCs w:val="24"/>
        </w:rPr>
        <w:t>, and in the entire Middle East. With the recent clinical movement in the region, the winds of change are blowing.</w:t>
      </w:r>
    </w:p>
    <w:sectPr w:rsidR="00DC3736" w:rsidRPr="00BD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DE"/>
    <w:rsid w:val="00BD4FDE"/>
    <w:rsid w:val="00D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1</cp:revision>
  <dcterms:created xsi:type="dcterms:W3CDTF">2019-10-18T21:44:00Z</dcterms:created>
  <dcterms:modified xsi:type="dcterms:W3CDTF">2019-10-18T21:46:00Z</dcterms:modified>
</cp:coreProperties>
</file>