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DF" w:rsidRDefault="00434CDF" w:rsidP="00434CDF">
      <w:pPr>
        <w:pStyle w:val="NoSpacing"/>
        <w:jc w:val="center"/>
        <w:rPr>
          <w:rFonts w:asciiTheme="majorBidi" w:hAnsiTheme="majorBidi" w:cstheme="majorBidi"/>
          <w:b/>
          <w:sz w:val="28"/>
          <w:szCs w:val="28"/>
        </w:rPr>
      </w:pPr>
      <w:r w:rsidRPr="00044F22">
        <w:rPr>
          <w:rFonts w:asciiTheme="majorBidi" w:hAnsiTheme="majorBidi" w:cstheme="majorBidi"/>
          <w:b/>
          <w:sz w:val="28"/>
          <w:szCs w:val="28"/>
        </w:rPr>
        <w:t>The Coexis</w:t>
      </w:r>
      <w:bookmarkStart w:id="0" w:name="_GoBack"/>
      <w:bookmarkEnd w:id="0"/>
      <w:r w:rsidRPr="00044F22">
        <w:rPr>
          <w:rFonts w:asciiTheme="majorBidi" w:hAnsiTheme="majorBidi" w:cstheme="majorBidi"/>
          <w:b/>
          <w:sz w:val="28"/>
          <w:szCs w:val="28"/>
        </w:rPr>
        <w:t>tence of Diverse Legal Traditions in a Single Territory: The Case of the Freedom of Expression in Palestine</w:t>
      </w:r>
      <w:r w:rsidRPr="00D776EB">
        <w:rPr>
          <w:rStyle w:val="FootnoteReference"/>
          <w:rFonts w:asciiTheme="majorBidi" w:hAnsiTheme="majorBidi" w:cstheme="majorBidi"/>
          <w:bCs/>
          <w:i/>
          <w:iCs/>
          <w:rtl/>
        </w:rPr>
        <w:footnoteReference w:customMarkFollows="1" w:id="1"/>
        <w:sym w:font="Symbol" w:char="F02A"/>
      </w:r>
    </w:p>
    <w:p w:rsidR="00434CDF" w:rsidRDefault="00434CDF" w:rsidP="00434CDF">
      <w:pPr>
        <w:pStyle w:val="NoSpacing"/>
        <w:jc w:val="center"/>
        <w:rPr>
          <w:rFonts w:asciiTheme="majorBidi" w:hAnsiTheme="majorBidi" w:cstheme="majorBidi"/>
          <w:b/>
          <w:sz w:val="28"/>
          <w:szCs w:val="28"/>
        </w:rPr>
      </w:pPr>
    </w:p>
    <w:p w:rsidR="00434CDF" w:rsidRPr="00044F22" w:rsidRDefault="00434CDF" w:rsidP="00434CDF">
      <w:pPr>
        <w:pStyle w:val="NoSpacing"/>
        <w:jc w:val="center"/>
        <w:rPr>
          <w:rFonts w:asciiTheme="majorBidi" w:hAnsiTheme="majorBidi" w:cstheme="majorBidi"/>
          <w:b/>
          <w:sz w:val="28"/>
          <w:szCs w:val="28"/>
        </w:rPr>
      </w:pPr>
      <w:proofErr w:type="spellStart"/>
      <w:r>
        <w:rPr>
          <w:rFonts w:asciiTheme="majorBidi" w:hAnsiTheme="majorBidi" w:cstheme="majorBidi"/>
          <w:bCs/>
          <w:i/>
          <w:iCs/>
        </w:rPr>
        <w:t>Mutaz</w:t>
      </w:r>
      <w:proofErr w:type="spellEnd"/>
      <w:r>
        <w:rPr>
          <w:rFonts w:asciiTheme="majorBidi" w:hAnsiTheme="majorBidi" w:cstheme="majorBidi"/>
          <w:bCs/>
          <w:i/>
          <w:iCs/>
        </w:rPr>
        <w:t xml:space="preserve"> M</w:t>
      </w:r>
      <w:r w:rsidRPr="00D776EB">
        <w:rPr>
          <w:rFonts w:asciiTheme="majorBidi" w:hAnsiTheme="majorBidi" w:cstheme="majorBidi"/>
          <w:bCs/>
          <w:i/>
          <w:iCs/>
        </w:rPr>
        <w:t xml:space="preserve"> </w:t>
      </w:r>
      <w:proofErr w:type="spellStart"/>
      <w:r w:rsidRPr="00D776EB">
        <w:rPr>
          <w:rFonts w:asciiTheme="majorBidi" w:hAnsiTheme="majorBidi" w:cstheme="majorBidi"/>
          <w:bCs/>
          <w:i/>
          <w:iCs/>
        </w:rPr>
        <w:t>Qafisheh</w:t>
      </w:r>
      <w:proofErr w:type="spellEnd"/>
      <w:r>
        <w:rPr>
          <w:rStyle w:val="FootnoteReference"/>
          <w:rFonts w:asciiTheme="majorBidi" w:hAnsiTheme="majorBidi" w:cstheme="majorBidi"/>
          <w:b/>
          <w:sz w:val="28"/>
          <w:szCs w:val="28"/>
          <w:rtl/>
        </w:rPr>
        <w:footnoteReference w:customMarkFollows="1" w:id="2"/>
        <w:t>**</w:t>
      </w:r>
    </w:p>
    <w:p w:rsidR="00434CDF" w:rsidRDefault="00434CDF" w:rsidP="00434CDF">
      <w:pPr>
        <w:pStyle w:val="NoSpacing"/>
        <w:jc w:val="both"/>
        <w:rPr>
          <w:rFonts w:asciiTheme="majorBidi" w:hAnsiTheme="majorBidi" w:cstheme="majorBidi"/>
          <w:i/>
          <w:iCs/>
          <w:sz w:val="24"/>
          <w:szCs w:val="24"/>
        </w:rPr>
      </w:pPr>
    </w:p>
    <w:p w:rsidR="00434CDF" w:rsidRDefault="00434CDF" w:rsidP="00434CDF">
      <w:pPr>
        <w:pStyle w:val="NoSpacing"/>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4"/>
          <w:szCs w:val="24"/>
        </w:rPr>
      </w:pPr>
    </w:p>
    <w:p w:rsidR="00434CDF" w:rsidRPr="00AA740E" w:rsidRDefault="00434CDF" w:rsidP="00434CDF">
      <w:pPr>
        <w:pStyle w:val="NoSpacing"/>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4"/>
          <w:szCs w:val="24"/>
        </w:rPr>
      </w:pPr>
      <w:r w:rsidRPr="00AA740E">
        <w:rPr>
          <w:rFonts w:asciiTheme="majorBidi" w:hAnsiTheme="majorBidi" w:cstheme="majorBidi"/>
          <w:i/>
          <w:iCs/>
          <w:sz w:val="24"/>
          <w:szCs w:val="24"/>
        </w:rPr>
        <w:t>Abstract</w:t>
      </w:r>
    </w:p>
    <w:p w:rsidR="00434CDF" w:rsidRPr="00AA740E" w:rsidRDefault="00434CDF" w:rsidP="00434CDF">
      <w:pPr>
        <w:pStyle w:val="NoSpacing"/>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4"/>
          <w:szCs w:val="24"/>
        </w:rPr>
      </w:pPr>
    </w:p>
    <w:p w:rsidR="00434CDF" w:rsidRDefault="00434CDF" w:rsidP="00434CDF">
      <w:pPr>
        <w:pStyle w:val="NoSpacing"/>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4"/>
          <w:szCs w:val="24"/>
        </w:rPr>
      </w:pPr>
      <w:r w:rsidRPr="00AA740E">
        <w:rPr>
          <w:rFonts w:asciiTheme="majorBidi" w:hAnsiTheme="majorBidi" w:cstheme="majorBidi"/>
          <w:i/>
          <w:iCs/>
          <w:sz w:val="24"/>
          <w:szCs w:val="24"/>
        </w:rPr>
        <w:t>This paper examines the coexistence among the three legal traditions in Palestine (continental law, common law and Islamic law) by revising various legislative pieces relating to the freedom of expression and comparing such instruments with the International Covenant on Civil and Political Rights (ICCPR). The paper proposes certain measures to reform the existing systems, taking into account the assumption that Palestine would be interested to become party to the Covenant as it declared in its 2003 Amended Basic Law (constitution</w:t>
      </w:r>
      <w:r>
        <w:rPr>
          <w:rFonts w:asciiTheme="majorBidi" w:hAnsiTheme="majorBidi" w:cstheme="majorBidi"/>
          <w:i/>
          <w:iCs/>
          <w:sz w:val="24"/>
          <w:szCs w:val="24"/>
        </w:rPr>
        <w:t>),</w:t>
      </w:r>
      <w:r w:rsidRPr="00AA740E">
        <w:rPr>
          <w:rFonts w:asciiTheme="majorBidi" w:hAnsiTheme="majorBidi" w:cstheme="majorBidi"/>
          <w:i/>
          <w:iCs/>
          <w:sz w:val="24"/>
          <w:szCs w:val="24"/>
        </w:rPr>
        <w:t xml:space="preserve"> particularly in the light of Palestine’s recent attempts to acquire full membership of the United Nations. Using comparative and inductive approach, the paper adopts a wider definition of the freedom of expression that comprises five components: privacy, freedom of religion, freedom of opinion, right to peaceful assembly, and freedom of as</w:t>
      </w:r>
      <w:r>
        <w:rPr>
          <w:rFonts w:asciiTheme="majorBidi" w:hAnsiTheme="majorBidi" w:cstheme="majorBidi"/>
          <w:i/>
          <w:iCs/>
          <w:sz w:val="24"/>
          <w:szCs w:val="24"/>
        </w:rPr>
        <w:t>sociation.</w:t>
      </w:r>
    </w:p>
    <w:p w:rsidR="00434CDF" w:rsidRPr="00AA740E" w:rsidRDefault="00434CDF" w:rsidP="00434CDF">
      <w:pPr>
        <w:pStyle w:val="NoSpacing"/>
        <w:pBdr>
          <w:top w:val="single" w:sz="4" w:space="1" w:color="auto"/>
          <w:left w:val="single" w:sz="4" w:space="4" w:color="auto"/>
          <w:bottom w:val="single" w:sz="4" w:space="1" w:color="auto"/>
          <w:right w:val="single" w:sz="4" w:space="4" w:color="auto"/>
        </w:pBdr>
        <w:jc w:val="both"/>
        <w:rPr>
          <w:rFonts w:asciiTheme="majorBidi" w:hAnsiTheme="majorBidi" w:cstheme="majorBidi"/>
          <w:i/>
          <w:iCs/>
          <w:sz w:val="24"/>
          <w:szCs w:val="24"/>
        </w:rPr>
      </w:pPr>
    </w:p>
    <w:p w:rsidR="00434CDF" w:rsidRPr="00D776EB" w:rsidRDefault="00434CDF" w:rsidP="00434CDF">
      <w:pPr>
        <w:shd w:val="clear" w:color="auto" w:fill="FFFFFF"/>
        <w:bidi w:val="0"/>
        <w:jc w:val="both"/>
        <w:rPr>
          <w:rFonts w:ascii="Lucida Grande" w:eastAsia="Times New Roman" w:hAnsi="Lucida Grande" w:cs="Times New Roman"/>
          <w:color w:val="333333"/>
          <w:lang w:val="en-GB"/>
        </w:rPr>
      </w:pPr>
    </w:p>
    <w:p w:rsidR="00434CDF" w:rsidRPr="00D776EB" w:rsidRDefault="00434CDF" w:rsidP="00434CDF">
      <w:pPr>
        <w:pStyle w:val="NormalWeb"/>
        <w:bidi w:val="0"/>
        <w:spacing w:before="0" w:beforeAutospacing="0" w:after="0" w:afterAutospacing="0"/>
        <w:jc w:val="both"/>
        <w:rPr>
          <w:rFonts w:asciiTheme="majorBidi" w:hAnsiTheme="majorBidi" w:cstheme="majorBidi"/>
          <w:b/>
          <w:bCs/>
          <w:lang w:val="en-GB"/>
        </w:rPr>
      </w:pPr>
      <w:r w:rsidRPr="00D776EB">
        <w:rPr>
          <w:rFonts w:asciiTheme="majorBidi" w:hAnsiTheme="majorBidi" w:cstheme="majorBidi"/>
          <w:b/>
          <w:bCs/>
          <w:lang w:val="en-GB"/>
        </w:rPr>
        <w:t>Introduction</w:t>
      </w:r>
    </w:p>
    <w:p w:rsidR="00434CDF" w:rsidRPr="00D776EB" w:rsidRDefault="00434CDF" w:rsidP="00434CDF">
      <w:pPr>
        <w:pStyle w:val="NormalWeb"/>
        <w:spacing w:before="0" w:beforeAutospacing="0" w:after="0" w:afterAutospacing="0"/>
        <w:jc w:val="both"/>
        <w:rPr>
          <w:rFonts w:asciiTheme="majorBidi" w:hAnsiTheme="majorBidi" w:cstheme="majorBidi"/>
          <w:b/>
          <w:bCs/>
          <w:lang w:val="en-GB"/>
        </w:rPr>
      </w:pPr>
    </w:p>
    <w:p w:rsidR="00C00432" w:rsidRPr="00894E1A" w:rsidRDefault="00434CDF" w:rsidP="00434CDF">
      <w:pPr>
        <w:tabs>
          <w:tab w:val="right" w:pos="2160"/>
          <w:tab w:val="left" w:pos="7667"/>
        </w:tabs>
        <w:bidi w:val="0"/>
        <w:spacing w:after="0" w:line="240" w:lineRule="auto"/>
        <w:jc w:val="both"/>
        <w:rPr>
          <w:rFonts w:asciiTheme="majorBidi" w:hAnsiTheme="majorBidi" w:cstheme="majorBidi"/>
          <w:b/>
          <w:bCs/>
          <w:i/>
          <w:iCs/>
          <w:color w:val="000000" w:themeColor="text1"/>
          <w:sz w:val="20"/>
          <w:szCs w:val="20"/>
          <w:rtl/>
          <w:lang w:bidi="ar-JO"/>
        </w:rPr>
      </w:pPr>
      <w:r w:rsidRPr="00D776EB">
        <w:rPr>
          <w:rFonts w:asciiTheme="majorBidi" w:hAnsiTheme="majorBidi" w:cstheme="majorBidi"/>
          <w:sz w:val="24"/>
          <w:szCs w:val="24"/>
        </w:rPr>
        <w:t xml:space="preserve">Although </w:t>
      </w:r>
      <w:r>
        <w:rPr>
          <w:rFonts w:asciiTheme="majorBidi" w:hAnsiTheme="majorBidi" w:cstheme="majorBidi"/>
          <w:sz w:val="24"/>
          <w:szCs w:val="24"/>
        </w:rPr>
        <w:t xml:space="preserve">the West Bank and Gaza Strip are recognized as a single entity (i.e. Palestine), </w:t>
      </w:r>
      <w:r w:rsidRPr="00D776EB">
        <w:rPr>
          <w:rFonts w:asciiTheme="majorBidi" w:hAnsiTheme="majorBidi" w:cstheme="majorBidi"/>
          <w:sz w:val="24"/>
          <w:szCs w:val="24"/>
        </w:rPr>
        <w:t xml:space="preserve">legislation that regulates the freedom of expression </w:t>
      </w:r>
      <w:r>
        <w:rPr>
          <w:rFonts w:asciiTheme="majorBidi" w:hAnsiTheme="majorBidi" w:cstheme="majorBidi"/>
          <w:sz w:val="24"/>
          <w:szCs w:val="24"/>
        </w:rPr>
        <w:t>differs in these two areas.</w:t>
      </w:r>
      <w:r w:rsidRPr="00D776EB">
        <w:rPr>
          <w:rFonts w:asciiTheme="majorBidi" w:hAnsiTheme="majorBidi" w:cstheme="majorBidi"/>
          <w:sz w:val="24"/>
          <w:szCs w:val="24"/>
        </w:rPr>
        <w:t xml:space="preserve"> In the West Bank, which inherited the Jordanian legal system as Jordan controlled that part of Pa</w:t>
      </w:r>
      <w:r>
        <w:rPr>
          <w:rFonts w:asciiTheme="majorBidi" w:hAnsiTheme="majorBidi" w:cstheme="majorBidi"/>
          <w:sz w:val="24"/>
          <w:szCs w:val="24"/>
        </w:rPr>
        <w:t>lestine from 1948 to 1967, the continental l</w:t>
      </w:r>
      <w:r w:rsidRPr="00D776EB">
        <w:rPr>
          <w:rFonts w:asciiTheme="majorBidi" w:hAnsiTheme="majorBidi" w:cstheme="majorBidi"/>
          <w:sz w:val="24"/>
          <w:szCs w:val="24"/>
        </w:rPr>
        <w:t>aw tradition prevails. Gaza</w:t>
      </w:r>
      <w:r>
        <w:rPr>
          <w:rFonts w:asciiTheme="majorBidi" w:hAnsiTheme="majorBidi" w:cstheme="majorBidi"/>
          <w:sz w:val="24"/>
          <w:szCs w:val="24"/>
        </w:rPr>
        <w:t xml:space="preserve"> retained most of the common l</w:t>
      </w:r>
      <w:r w:rsidRPr="00D776EB">
        <w:rPr>
          <w:rFonts w:asciiTheme="majorBidi" w:hAnsiTheme="majorBidi" w:cstheme="majorBidi"/>
          <w:sz w:val="24"/>
          <w:szCs w:val="24"/>
        </w:rPr>
        <w:t>aw practices adopted by the British authorities during the Palestine Mandate era. In the two parts of Palestine,</w:t>
      </w:r>
    </w:p>
    <w:sectPr w:rsidR="00C00432" w:rsidRPr="00894E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2B" w:rsidRDefault="00CB3A2B" w:rsidP="00823E6C">
      <w:pPr>
        <w:spacing w:after="0" w:line="240" w:lineRule="auto"/>
      </w:pPr>
      <w:r>
        <w:separator/>
      </w:r>
    </w:p>
  </w:endnote>
  <w:endnote w:type="continuationSeparator" w:id="0">
    <w:p w:rsidR="00CB3A2B" w:rsidRDefault="00CB3A2B" w:rsidP="0082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2B" w:rsidRDefault="00CB3A2B" w:rsidP="00823E6C">
      <w:pPr>
        <w:spacing w:after="0" w:line="240" w:lineRule="auto"/>
      </w:pPr>
      <w:r>
        <w:separator/>
      </w:r>
    </w:p>
  </w:footnote>
  <w:footnote w:type="continuationSeparator" w:id="0">
    <w:p w:rsidR="00CB3A2B" w:rsidRDefault="00CB3A2B" w:rsidP="00823E6C">
      <w:pPr>
        <w:spacing w:after="0" w:line="240" w:lineRule="auto"/>
      </w:pPr>
      <w:r>
        <w:continuationSeparator/>
      </w:r>
    </w:p>
  </w:footnote>
  <w:footnote w:id="1">
    <w:p w:rsidR="00434CDF" w:rsidRPr="000C0B83" w:rsidRDefault="00434CDF" w:rsidP="00434CDF">
      <w:pPr>
        <w:bidi w:val="0"/>
        <w:spacing w:after="120"/>
        <w:jc w:val="both"/>
        <w:rPr>
          <w:rFonts w:asciiTheme="majorBidi" w:hAnsiTheme="majorBidi" w:cstheme="majorBidi"/>
          <w:sz w:val="20"/>
          <w:szCs w:val="20"/>
        </w:rPr>
      </w:pPr>
      <w:r w:rsidRPr="000C0B83">
        <w:rPr>
          <w:rStyle w:val="FootnoteReference"/>
          <w:rFonts w:asciiTheme="majorBidi" w:hAnsiTheme="majorBidi" w:cstheme="majorBidi"/>
          <w:color w:val="000000" w:themeColor="text1"/>
          <w:rtl/>
        </w:rPr>
        <w:sym w:font="Symbol" w:char="F02A"/>
      </w:r>
      <w:r>
        <w:rPr>
          <w:rFonts w:asciiTheme="majorBidi" w:hAnsiTheme="majorBidi" w:cstheme="majorBidi"/>
          <w:color w:val="000000" w:themeColor="text1"/>
          <w:sz w:val="20"/>
          <w:szCs w:val="20"/>
        </w:rPr>
        <w:t xml:space="preserve"> A shorter version of this article was presented at an international conference on the Legal Tradition in a Diverse World that took place at the Faculty of Law, University of Cambridge, 18-19 May 2013.</w:t>
      </w:r>
      <w:r w:rsidRPr="000C0B83">
        <w:rPr>
          <w:rFonts w:asciiTheme="majorBidi" w:hAnsiTheme="majorBidi" w:cstheme="majorBidi" w:hint="cs"/>
          <w:color w:val="000000" w:themeColor="text1"/>
          <w:sz w:val="20"/>
          <w:szCs w:val="20"/>
          <w:rtl/>
        </w:rPr>
        <w:t xml:space="preserve"> </w:t>
      </w:r>
    </w:p>
  </w:footnote>
  <w:footnote w:id="2">
    <w:p w:rsidR="00434CDF" w:rsidRDefault="00434CDF" w:rsidP="00434CDF">
      <w:pPr>
        <w:pStyle w:val="FootnoteText"/>
        <w:bidi w:val="0"/>
        <w:spacing w:after="120"/>
        <w:jc w:val="both"/>
      </w:pPr>
      <w:r>
        <w:rPr>
          <w:rStyle w:val="FootnoteReference"/>
          <w:rtl/>
        </w:rPr>
        <w:t>**</w:t>
      </w:r>
      <w:r>
        <w:t xml:space="preserve"> </w:t>
      </w:r>
      <w:r w:rsidRPr="000C0B83">
        <w:rPr>
          <w:rFonts w:asciiTheme="majorBidi" w:hAnsiTheme="majorBidi" w:cstheme="majorBidi"/>
          <w:bCs/>
          <w:color w:val="000000" w:themeColor="text1"/>
        </w:rPr>
        <w:t xml:space="preserve">Professor of International Law and Legal Clinic Director, Hebron University, Palestine; </w:t>
      </w:r>
      <w:r w:rsidRPr="000C0B83">
        <w:rPr>
          <w:rFonts w:asciiTheme="majorBidi" w:hAnsiTheme="majorBidi" w:cstheme="majorBidi"/>
          <w:color w:val="000000" w:themeColor="text1"/>
        </w:rPr>
        <w:t xml:space="preserve">PhD in International Law, Graduate Institute of International and Development Studies, Geneva. He is a </w:t>
      </w:r>
      <w:proofErr w:type="spellStart"/>
      <w:r w:rsidRPr="000C0B83">
        <w:rPr>
          <w:rFonts w:asciiTheme="majorBidi" w:hAnsiTheme="majorBidi" w:cstheme="majorBidi"/>
          <w:color w:val="000000" w:themeColor="text1"/>
        </w:rPr>
        <w:t>practising</w:t>
      </w:r>
      <w:proofErr w:type="spellEnd"/>
      <w:r w:rsidRPr="000C0B83">
        <w:rPr>
          <w:rFonts w:asciiTheme="majorBidi" w:hAnsiTheme="majorBidi" w:cstheme="majorBidi"/>
          <w:color w:val="000000" w:themeColor="text1"/>
        </w:rPr>
        <w:t xml:space="preserve"> international lawyer, advising a number of international organizations, including the United Nations and the PLO. He has formerly worked as Human Rights Officer, UN Office of the High Commissioner for Human Rights in Geneva, Beirut and Ramallah; Regional Director, Penal Reform International, Middle East and North Africa; Director, Security Sector Reform; Director, Legal Education, Palestinian Law Schools; Legal Advisor, Palestinian Parliament; Founder, Human Rights Program, Al-Quds-Bard Honors College, Jerusalem and New York.</w:t>
      </w:r>
      <w:r w:rsidRPr="000C0B83">
        <w:rPr>
          <w:rFonts w:asciiTheme="majorBidi" w:hAnsiTheme="majorBidi" w:cstheme="majorBidi"/>
          <w:bCs/>
          <w:color w:val="000000" w:themeColor="text1"/>
        </w:rPr>
        <w:t xml:space="preserve"> He published some thirty books and refereed arti</w:t>
      </w:r>
      <w:r>
        <w:rPr>
          <w:rFonts w:asciiTheme="majorBidi" w:hAnsiTheme="majorBidi" w:cstheme="majorBidi"/>
          <w:bCs/>
          <w:color w:val="000000" w:themeColor="text1"/>
        </w:rPr>
        <w:t>cles in international journals,</w:t>
      </w:r>
      <w:r w:rsidRPr="000C0B83">
        <w:rPr>
          <w:rFonts w:asciiTheme="majorBidi" w:hAnsiTheme="majorBidi" w:cstheme="majorBidi"/>
          <w:color w:val="000000" w:themeColor="text1"/>
        </w:rPr>
        <w:t xml:space="preserve"> in</w:t>
      </w:r>
      <w:r>
        <w:rPr>
          <w:rFonts w:asciiTheme="majorBidi" w:hAnsiTheme="majorBidi" w:cstheme="majorBidi"/>
          <w:color w:val="000000" w:themeColor="text1"/>
        </w:rPr>
        <w:t>cluding</w:t>
      </w:r>
      <w:r w:rsidRPr="000C0B83">
        <w:rPr>
          <w:rFonts w:asciiTheme="majorBidi" w:hAnsiTheme="majorBidi" w:cstheme="majorBidi"/>
          <w:color w:val="000000" w:themeColor="text1"/>
        </w:rPr>
        <w:t xml:space="preserve">: </w:t>
      </w:r>
      <w:r w:rsidRPr="000C0B83">
        <w:rPr>
          <w:rFonts w:asciiTheme="majorBidi" w:hAnsiTheme="majorBidi" w:cstheme="majorBidi"/>
          <w:i/>
          <w:iCs/>
          <w:color w:val="000000" w:themeColor="text1"/>
        </w:rPr>
        <w:t>The Membership of Palestine in the United Nations: Legal and Political Implications</w:t>
      </w:r>
      <w:r w:rsidRPr="000C0B83">
        <w:rPr>
          <w:rFonts w:asciiTheme="majorBidi" w:hAnsiTheme="majorBidi" w:cstheme="majorBidi"/>
          <w:color w:val="000000" w:themeColor="text1"/>
        </w:rPr>
        <w:t xml:space="preserve"> (ed., Cambridge Scholars Publishing, 2013); ‘The Ability of the Palestine Secure Adequate Standards of Living: Reform or Failed State Scenario,’ </w:t>
      </w:r>
      <w:r w:rsidRPr="000C0B83">
        <w:rPr>
          <w:rFonts w:asciiTheme="majorBidi" w:hAnsiTheme="majorBidi" w:cstheme="majorBidi"/>
          <w:i/>
          <w:iCs/>
          <w:color w:val="000000" w:themeColor="text1"/>
        </w:rPr>
        <w:t>Asian Journal of International Law</w:t>
      </w:r>
      <w:r w:rsidRPr="000C0B83">
        <w:rPr>
          <w:rFonts w:asciiTheme="majorBidi" w:hAnsiTheme="majorBidi" w:cstheme="majorBidi"/>
          <w:color w:val="000000" w:themeColor="text1"/>
        </w:rPr>
        <w:t xml:space="preserve"> (Cambridge University Press, 2013); ‘The Role of Legal Clinics in Leading Legal Education: A Model from the Middle East,’ </w:t>
      </w:r>
      <w:r w:rsidRPr="000C0B83">
        <w:rPr>
          <w:rFonts w:asciiTheme="majorBidi" w:hAnsiTheme="majorBidi" w:cstheme="majorBidi"/>
          <w:i/>
          <w:iCs/>
          <w:color w:val="000000" w:themeColor="text1"/>
        </w:rPr>
        <w:t>Legal Education Review</w:t>
      </w:r>
      <w:r w:rsidRPr="000C0B83">
        <w:rPr>
          <w:rFonts w:asciiTheme="majorBidi" w:hAnsiTheme="majorBidi" w:cstheme="majorBidi"/>
          <w:color w:val="000000" w:themeColor="text1"/>
        </w:rPr>
        <w:t xml:space="preserve">, University of Western Sydney, Australia, 2012; </w:t>
      </w:r>
      <w:r w:rsidRPr="000C0B83">
        <w:rPr>
          <w:rFonts w:asciiTheme="majorBidi" w:hAnsiTheme="majorBidi" w:cstheme="majorBidi"/>
          <w:iCs/>
          <w:color w:val="000000" w:themeColor="text1"/>
        </w:rPr>
        <w:t>‘Article 1D: Definition of the Term ‘Refugee’,’</w:t>
      </w:r>
      <w:r w:rsidRPr="000C0B83">
        <w:rPr>
          <w:rFonts w:asciiTheme="majorBidi" w:hAnsiTheme="majorBidi" w:cstheme="majorBidi"/>
          <w:color w:val="000000" w:themeColor="text1"/>
        </w:rPr>
        <w:t xml:space="preserve"> in A. Zimmermann, ed., </w:t>
      </w:r>
      <w:r w:rsidRPr="000C0B83">
        <w:rPr>
          <w:rFonts w:asciiTheme="majorBidi" w:hAnsiTheme="majorBidi" w:cstheme="majorBidi"/>
          <w:i/>
          <w:iCs/>
          <w:color w:val="000000" w:themeColor="text1"/>
        </w:rPr>
        <w:t>The 1951 Convention Relating to the Status of Refugees and its 1967 Protocol: A Commentary</w:t>
      </w:r>
      <w:r w:rsidRPr="000C0B83">
        <w:rPr>
          <w:rFonts w:asciiTheme="majorBidi" w:hAnsiTheme="majorBidi" w:cstheme="majorBidi"/>
          <w:color w:val="000000" w:themeColor="text1"/>
        </w:rPr>
        <w:t xml:space="preserve"> (Oxford University Press, 2011);</w:t>
      </w:r>
      <w:r w:rsidRPr="000C0B83">
        <w:rPr>
          <w:rFonts w:asciiTheme="majorBidi" w:hAnsiTheme="majorBidi" w:cstheme="majorBidi"/>
        </w:rPr>
        <w:t xml:space="preserve"> ‘Juvenile Justice System in Palestine: Current Situation and Reform Prospects,’ </w:t>
      </w:r>
      <w:r w:rsidRPr="000C0B83">
        <w:rPr>
          <w:rFonts w:asciiTheme="majorBidi" w:hAnsiTheme="majorBidi" w:cstheme="majorBidi"/>
          <w:i/>
          <w:iCs/>
        </w:rPr>
        <w:t>The International Journal for Law, Policy and the Family</w:t>
      </w:r>
      <w:r w:rsidRPr="000C0B83">
        <w:rPr>
          <w:rFonts w:asciiTheme="majorBidi" w:hAnsiTheme="majorBidi" w:cstheme="majorBidi"/>
        </w:rPr>
        <w:t xml:space="preserve"> (Oxford University Press, 2011);</w:t>
      </w:r>
      <w:r w:rsidRPr="000C0B83">
        <w:rPr>
          <w:rFonts w:asciiTheme="majorBidi" w:hAnsiTheme="majorBidi" w:cstheme="majorBidi"/>
          <w:color w:val="000000" w:themeColor="text1"/>
        </w:rPr>
        <w:t xml:space="preserve"> </w:t>
      </w:r>
      <w:r w:rsidRPr="000C0B83">
        <w:rPr>
          <w:rFonts w:asciiTheme="majorBidi" w:hAnsiTheme="majorBidi" w:cstheme="majorBidi"/>
          <w:i/>
          <w:color w:val="000000" w:themeColor="text1"/>
        </w:rPr>
        <w:t>The International Law Foundations of Palestinian Nationality</w:t>
      </w:r>
      <w:r w:rsidRPr="000C0B83">
        <w:rPr>
          <w:rFonts w:asciiTheme="majorBidi" w:hAnsiTheme="majorBidi" w:cstheme="majorBidi"/>
          <w:color w:val="000000" w:themeColor="text1"/>
        </w:rPr>
        <w:t xml:space="preserve"> (Leiden and Boston: Brill,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761"/>
    <w:multiLevelType w:val="hybridMultilevel"/>
    <w:tmpl w:val="0A048328"/>
    <w:lvl w:ilvl="0" w:tplc="C0D097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90A28"/>
    <w:multiLevelType w:val="hybridMultilevel"/>
    <w:tmpl w:val="44F01036"/>
    <w:lvl w:ilvl="0" w:tplc="BC8011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7111"/>
    <w:multiLevelType w:val="hybridMultilevel"/>
    <w:tmpl w:val="A74ECAB8"/>
    <w:lvl w:ilvl="0" w:tplc="15B417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41697"/>
    <w:multiLevelType w:val="hybridMultilevel"/>
    <w:tmpl w:val="5BEA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212122"/>
    <w:multiLevelType w:val="hybridMultilevel"/>
    <w:tmpl w:val="0B9C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A468D"/>
    <w:multiLevelType w:val="hybridMultilevel"/>
    <w:tmpl w:val="F6D28F72"/>
    <w:lvl w:ilvl="0" w:tplc="6CE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B01"/>
    <w:multiLevelType w:val="hybridMultilevel"/>
    <w:tmpl w:val="9020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73AD8"/>
    <w:multiLevelType w:val="hybridMultilevel"/>
    <w:tmpl w:val="D0C2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0491D76"/>
    <w:multiLevelType w:val="hybridMultilevel"/>
    <w:tmpl w:val="56D48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4B4514"/>
    <w:multiLevelType w:val="hybridMultilevel"/>
    <w:tmpl w:val="4DC29ECE"/>
    <w:lvl w:ilvl="0" w:tplc="22BCD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320B0"/>
    <w:multiLevelType w:val="hybridMultilevel"/>
    <w:tmpl w:val="C62E5856"/>
    <w:lvl w:ilvl="0" w:tplc="B8948E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C2DB9"/>
    <w:multiLevelType w:val="hybridMultilevel"/>
    <w:tmpl w:val="E778825E"/>
    <w:lvl w:ilvl="0" w:tplc="E02C8D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F16A6"/>
    <w:multiLevelType w:val="hybridMultilevel"/>
    <w:tmpl w:val="E15C457E"/>
    <w:lvl w:ilvl="0" w:tplc="CBA2A4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26816"/>
    <w:multiLevelType w:val="hybridMultilevel"/>
    <w:tmpl w:val="731C9586"/>
    <w:lvl w:ilvl="0" w:tplc="53961B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461373"/>
    <w:multiLevelType w:val="hybridMultilevel"/>
    <w:tmpl w:val="744ADE96"/>
    <w:lvl w:ilvl="0" w:tplc="6D5CE8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5773B"/>
    <w:multiLevelType w:val="hybridMultilevel"/>
    <w:tmpl w:val="A678C1DE"/>
    <w:lvl w:ilvl="0" w:tplc="197ACE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1"/>
  </w:num>
  <w:num w:numId="9">
    <w:abstractNumId w:val="15"/>
  </w:num>
  <w:num w:numId="10">
    <w:abstractNumId w:val="5"/>
  </w:num>
  <w:num w:numId="11">
    <w:abstractNumId w:val="14"/>
  </w:num>
  <w:num w:numId="12">
    <w:abstractNumId w:val="0"/>
  </w:num>
  <w:num w:numId="13">
    <w:abstractNumId w:val="2"/>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62"/>
    <w:rsid w:val="000001B8"/>
    <w:rsid w:val="00043503"/>
    <w:rsid w:val="0007521A"/>
    <w:rsid w:val="00081D03"/>
    <w:rsid w:val="0009543E"/>
    <w:rsid w:val="000A0614"/>
    <w:rsid w:val="000B04E3"/>
    <w:rsid w:val="000E6581"/>
    <w:rsid w:val="000F6200"/>
    <w:rsid w:val="00141A2C"/>
    <w:rsid w:val="001644E8"/>
    <w:rsid w:val="0017006A"/>
    <w:rsid w:val="001C2DCD"/>
    <w:rsid w:val="001D6EBC"/>
    <w:rsid w:val="00211C65"/>
    <w:rsid w:val="00224CC3"/>
    <w:rsid w:val="00262B73"/>
    <w:rsid w:val="00313B36"/>
    <w:rsid w:val="00324D9E"/>
    <w:rsid w:val="003620C4"/>
    <w:rsid w:val="0039241E"/>
    <w:rsid w:val="003C20CD"/>
    <w:rsid w:val="003E4601"/>
    <w:rsid w:val="00405D33"/>
    <w:rsid w:val="00434CDF"/>
    <w:rsid w:val="00455C1A"/>
    <w:rsid w:val="004C1733"/>
    <w:rsid w:val="00517138"/>
    <w:rsid w:val="0052754E"/>
    <w:rsid w:val="005D60D5"/>
    <w:rsid w:val="00605CAD"/>
    <w:rsid w:val="00654441"/>
    <w:rsid w:val="006738FA"/>
    <w:rsid w:val="00676B43"/>
    <w:rsid w:val="00680941"/>
    <w:rsid w:val="006B15C4"/>
    <w:rsid w:val="006B2E62"/>
    <w:rsid w:val="006D460E"/>
    <w:rsid w:val="00746AE5"/>
    <w:rsid w:val="007518DE"/>
    <w:rsid w:val="00755519"/>
    <w:rsid w:val="00796F78"/>
    <w:rsid w:val="007C347C"/>
    <w:rsid w:val="007E4507"/>
    <w:rsid w:val="00823E6C"/>
    <w:rsid w:val="00841FBF"/>
    <w:rsid w:val="00855624"/>
    <w:rsid w:val="00855873"/>
    <w:rsid w:val="00866A10"/>
    <w:rsid w:val="00884A50"/>
    <w:rsid w:val="00894E1A"/>
    <w:rsid w:val="008B7D24"/>
    <w:rsid w:val="009543E5"/>
    <w:rsid w:val="009A4A3B"/>
    <w:rsid w:val="009A4D16"/>
    <w:rsid w:val="00A61B13"/>
    <w:rsid w:val="00A66B12"/>
    <w:rsid w:val="00B02892"/>
    <w:rsid w:val="00B43AD6"/>
    <w:rsid w:val="00C00432"/>
    <w:rsid w:val="00CB3A2B"/>
    <w:rsid w:val="00D072C5"/>
    <w:rsid w:val="00D20404"/>
    <w:rsid w:val="00D9700F"/>
    <w:rsid w:val="00DF526A"/>
    <w:rsid w:val="00DF5431"/>
    <w:rsid w:val="00E37256"/>
    <w:rsid w:val="00E70C8B"/>
    <w:rsid w:val="00EA0CA0"/>
    <w:rsid w:val="00EC6611"/>
    <w:rsid w:val="00F264AB"/>
    <w:rsid w:val="00F9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6C"/>
    <w:pPr>
      <w:bidi/>
    </w:pPr>
  </w:style>
  <w:style w:type="paragraph" w:styleId="Heading1">
    <w:name w:val="heading 1"/>
    <w:basedOn w:val="Normal"/>
    <w:next w:val="Normal"/>
    <w:link w:val="Heading1Char"/>
    <w:uiPriority w:val="9"/>
    <w:qFormat/>
    <w:rsid w:val="0082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3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200"/>
    <w:rPr>
      <w:color w:val="0000FF"/>
      <w:u w:val="single"/>
    </w:rPr>
  </w:style>
  <w:style w:type="character" w:customStyle="1" w:styleId="Heading1Char">
    <w:name w:val="Heading 1 Char"/>
    <w:basedOn w:val="DefaultParagraphFont"/>
    <w:link w:val="Heading1"/>
    <w:uiPriority w:val="9"/>
    <w:rsid w:val="00823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23E6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82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3E6C"/>
    <w:rPr>
      <w:rFonts w:ascii="Consolas" w:hAnsi="Consolas" w:cs="Consolas"/>
      <w:sz w:val="20"/>
      <w:szCs w:val="20"/>
    </w:rPr>
  </w:style>
  <w:style w:type="character" w:customStyle="1" w:styleId="FootnoteTextChar">
    <w:name w:val="Footnote Text Char"/>
    <w:aliases w:val="5_G Char"/>
    <w:basedOn w:val="DefaultParagraphFont"/>
    <w:link w:val="FootnoteText"/>
    <w:locked/>
    <w:rsid w:val="00823E6C"/>
    <w:rPr>
      <w:sz w:val="20"/>
      <w:szCs w:val="20"/>
    </w:rPr>
  </w:style>
  <w:style w:type="paragraph" w:styleId="FootnoteText">
    <w:name w:val="footnote text"/>
    <w:aliases w:val="5_G"/>
    <w:basedOn w:val="Normal"/>
    <w:link w:val="FootnoteTextChar"/>
    <w:unhideWhenUsed/>
    <w:qFormat/>
    <w:rsid w:val="00823E6C"/>
    <w:pPr>
      <w:spacing w:after="0" w:line="240" w:lineRule="auto"/>
    </w:pPr>
    <w:rPr>
      <w:sz w:val="20"/>
      <w:szCs w:val="20"/>
    </w:rPr>
  </w:style>
  <w:style w:type="character" w:customStyle="1" w:styleId="FootnoteTextChar1">
    <w:name w:val="Footnote Text Char1"/>
    <w:basedOn w:val="DefaultParagraphFont"/>
    <w:uiPriority w:val="99"/>
    <w:semiHidden/>
    <w:rsid w:val="00823E6C"/>
    <w:rPr>
      <w:sz w:val="20"/>
      <w:szCs w:val="20"/>
    </w:rPr>
  </w:style>
  <w:style w:type="paragraph" w:styleId="ListParagraph">
    <w:name w:val="List Paragraph"/>
    <w:basedOn w:val="Normal"/>
    <w:uiPriority w:val="99"/>
    <w:qFormat/>
    <w:rsid w:val="00823E6C"/>
    <w:pPr>
      <w:ind w:left="720"/>
      <w:contextualSpacing/>
    </w:pPr>
  </w:style>
  <w:style w:type="character" w:styleId="FootnoteReference">
    <w:name w:val="footnote reference"/>
    <w:aliases w:val="4_G"/>
    <w:basedOn w:val="DefaultParagraphFont"/>
    <w:unhideWhenUsed/>
    <w:qFormat/>
    <w:rsid w:val="00823E6C"/>
    <w:rPr>
      <w:vertAlign w:val="superscript"/>
    </w:rPr>
  </w:style>
  <w:style w:type="character" w:customStyle="1" w:styleId="lucenesearchresulturlb">
    <w:name w:val="lucene_search_result_url_b"/>
    <w:basedOn w:val="DefaultParagraphFont"/>
    <w:rsid w:val="00823E6C"/>
  </w:style>
  <w:style w:type="character" w:customStyle="1" w:styleId="apple-converted-space">
    <w:name w:val="apple-converted-space"/>
    <w:basedOn w:val="DefaultParagraphFont"/>
    <w:rsid w:val="00823E6C"/>
  </w:style>
  <w:style w:type="character" w:styleId="Emphasis">
    <w:name w:val="Emphasis"/>
    <w:basedOn w:val="DefaultParagraphFont"/>
    <w:uiPriority w:val="20"/>
    <w:qFormat/>
    <w:rsid w:val="00823E6C"/>
    <w:rPr>
      <w:i/>
      <w:iCs/>
    </w:rPr>
  </w:style>
  <w:style w:type="character" w:styleId="Strong">
    <w:name w:val="Strong"/>
    <w:basedOn w:val="DefaultParagraphFont"/>
    <w:uiPriority w:val="22"/>
    <w:qFormat/>
    <w:rsid w:val="00823E6C"/>
    <w:rPr>
      <w:b/>
      <w:bCs/>
    </w:rPr>
  </w:style>
  <w:style w:type="paragraph" w:styleId="CommentText">
    <w:name w:val="annotation text"/>
    <w:basedOn w:val="Normal"/>
    <w:link w:val="CommentTextChar"/>
    <w:uiPriority w:val="99"/>
    <w:unhideWhenUsed/>
    <w:rsid w:val="00324D9E"/>
    <w:pPr>
      <w:spacing w:line="240" w:lineRule="auto"/>
    </w:pPr>
    <w:rPr>
      <w:sz w:val="20"/>
      <w:szCs w:val="20"/>
    </w:rPr>
  </w:style>
  <w:style w:type="character" w:customStyle="1" w:styleId="CommentTextChar">
    <w:name w:val="Comment Text Char"/>
    <w:basedOn w:val="DefaultParagraphFont"/>
    <w:link w:val="CommentText"/>
    <w:uiPriority w:val="99"/>
    <w:rsid w:val="00324D9E"/>
    <w:rPr>
      <w:sz w:val="20"/>
      <w:szCs w:val="20"/>
    </w:rPr>
  </w:style>
  <w:style w:type="paragraph" w:customStyle="1" w:styleId="selectionshareable">
    <w:name w:val="selectionshareable"/>
    <w:basedOn w:val="Normal"/>
    <w:rsid w:val="0051713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4CDF"/>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6C"/>
    <w:pPr>
      <w:bidi/>
    </w:pPr>
  </w:style>
  <w:style w:type="paragraph" w:styleId="Heading1">
    <w:name w:val="heading 1"/>
    <w:basedOn w:val="Normal"/>
    <w:next w:val="Normal"/>
    <w:link w:val="Heading1Char"/>
    <w:uiPriority w:val="9"/>
    <w:qFormat/>
    <w:rsid w:val="0082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3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200"/>
    <w:rPr>
      <w:color w:val="0000FF"/>
      <w:u w:val="single"/>
    </w:rPr>
  </w:style>
  <w:style w:type="character" w:customStyle="1" w:styleId="Heading1Char">
    <w:name w:val="Heading 1 Char"/>
    <w:basedOn w:val="DefaultParagraphFont"/>
    <w:link w:val="Heading1"/>
    <w:uiPriority w:val="9"/>
    <w:rsid w:val="00823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23E6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82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3E6C"/>
    <w:rPr>
      <w:rFonts w:ascii="Consolas" w:hAnsi="Consolas" w:cs="Consolas"/>
      <w:sz w:val="20"/>
      <w:szCs w:val="20"/>
    </w:rPr>
  </w:style>
  <w:style w:type="character" w:customStyle="1" w:styleId="FootnoteTextChar">
    <w:name w:val="Footnote Text Char"/>
    <w:aliases w:val="5_G Char"/>
    <w:basedOn w:val="DefaultParagraphFont"/>
    <w:link w:val="FootnoteText"/>
    <w:locked/>
    <w:rsid w:val="00823E6C"/>
    <w:rPr>
      <w:sz w:val="20"/>
      <w:szCs w:val="20"/>
    </w:rPr>
  </w:style>
  <w:style w:type="paragraph" w:styleId="FootnoteText">
    <w:name w:val="footnote text"/>
    <w:aliases w:val="5_G"/>
    <w:basedOn w:val="Normal"/>
    <w:link w:val="FootnoteTextChar"/>
    <w:unhideWhenUsed/>
    <w:qFormat/>
    <w:rsid w:val="00823E6C"/>
    <w:pPr>
      <w:spacing w:after="0" w:line="240" w:lineRule="auto"/>
    </w:pPr>
    <w:rPr>
      <w:sz w:val="20"/>
      <w:szCs w:val="20"/>
    </w:rPr>
  </w:style>
  <w:style w:type="character" w:customStyle="1" w:styleId="FootnoteTextChar1">
    <w:name w:val="Footnote Text Char1"/>
    <w:basedOn w:val="DefaultParagraphFont"/>
    <w:uiPriority w:val="99"/>
    <w:semiHidden/>
    <w:rsid w:val="00823E6C"/>
    <w:rPr>
      <w:sz w:val="20"/>
      <w:szCs w:val="20"/>
    </w:rPr>
  </w:style>
  <w:style w:type="paragraph" w:styleId="ListParagraph">
    <w:name w:val="List Paragraph"/>
    <w:basedOn w:val="Normal"/>
    <w:uiPriority w:val="99"/>
    <w:qFormat/>
    <w:rsid w:val="00823E6C"/>
    <w:pPr>
      <w:ind w:left="720"/>
      <w:contextualSpacing/>
    </w:pPr>
  </w:style>
  <w:style w:type="character" w:styleId="FootnoteReference">
    <w:name w:val="footnote reference"/>
    <w:aliases w:val="4_G"/>
    <w:basedOn w:val="DefaultParagraphFont"/>
    <w:unhideWhenUsed/>
    <w:qFormat/>
    <w:rsid w:val="00823E6C"/>
    <w:rPr>
      <w:vertAlign w:val="superscript"/>
    </w:rPr>
  </w:style>
  <w:style w:type="character" w:customStyle="1" w:styleId="lucenesearchresulturlb">
    <w:name w:val="lucene_search_result_url_b"/>
    <w:basedOn w:val="DefaultParagraphFont"/>
    <w:rsid w:val="00823E6C"/>
  </w:style>
  <w:style w:type="character" w:customStyle="1" w:styleId="apple-converted-space">
    <w:name w:val="apple-converted-space"/>
    <w:basedOn w:val="DefaultParagraphFont"/>
    <w:rsid w:val="00823E6C"/>
  </w:style>
  <w:style w:type="character" w:styleId="Emphasis">
    <w:name w:val="Emphasis"/>
    <w:basedOn w:val="DefaultParagraphFont"/>
    <w:uiPriority w:val="20"/>
    <w:qFormat/>
    <w:rsid w:val="00823E6C"/>
    <w:rPr>
      <w:i/>
      <w:iCs/>
    </w:rPr>
  </w:style>
  <w:style w:type="character" w:styleId="Strong">
    <w:name w:val="Strong"/>
    <w:basedOn w:val="DefaultParagraphFont"/>
    <w:uiPriority w:val="22"/>
    <w:qFormat/>
    <w:rsid w:val="00823E6C"/>
    <w:rPr>
      <w:b/>
      <w:bCs/>
    </w:rPr>
  </w:style>
  <w:style w:type="paragraph" w:styleId="CommentText">
    <w:name w:val="annotation text"/>
    <w:basedOn w:val="Normal"/>
    <w:link w:val="CommentTextChar"/>
    <w:uiPriority w:val="99"/>
    <w:unhideWhenUsed/>
    <w:rsid w:val="00324D9E"/>
    <w:pPr>
      <w:spacing w:line="240" w:lineRule="auto"/>
    </w:pPr>
    <w:rPr>
      <w:sz w:val="20"/>
      <w:szCs w:val="20"/>
    </w:rPr>
  </w:style>
  <w:style w:type="character" w:customStyle="1" w:styleId="CommentTextChar">
    <w:name w:val="Comment Text Char"/>
    <w:basedOn w:val="DefaultParagraphFont"/>
    <w:link w:val="CommentText"/>
    <w:uiPriority w:val="99"/>
    <w:rsid w:val="00324D9E"/>
    <w:rPr>
      <w:sz w:val="20"/>
      <w:szCs w:val="20"/>
    </w:rPr>
  </w:style>
  <w:style w:type="paragraph" w:customStyle="1" w:styleId="selectionshareable">
    <w:name w:val="selectionshareable"/>
    <w:basedOn w:val="Normal"/>
    <w:rsid w:val="0051713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4CDF"/>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232">
      <w:bodyDiv w:val="1"/>
      <w:marLeft w:val="0"/>
      <w:marRight w:val="0"/>
      <w:marTop w:val="0"/>
      <w:marBottom w:val="0"/>
      <w:divBdr>
        <w:top w:val="none" w:sz="0" w:space="0" w:color="auto"/>
        <w:left w:val="none" w:sz="0" w:space="0" w:color="auto"/>
        <w:bottom w:val="none" w:sz="0" w:space="0" w:color="auto"/>
        <w:right w:val="none" w:sz="0" w:space="0" w:color="auto"/>
      </w:divBdr>
    </w:div>
    <w:div w:id="582833716">
      <w:bodyDiv w:val="1"/>
      <w:marLeft w:val="0"/>
      <w:marRight w:val="0"/>
      <w:marTop w:val="0"/>
      <w:marBottom w:val="0"/>
      <w:divBdr>
        <w:top w:val="none" w:sz="0" w:space="0" w:color="auto"/>
        <w:left w:val="none" w:sz="0" w:space="0" w:color="auto"/>
        <w:bottom w:val="none" w:sz="0" w:space="0" w:color="auto"/>
        <w:right w:val="none" w:sz="0" w:space="0" w:color="auto"/>
      </w:divBdr>
    </w:div>
    <w:div w:id="846477660">
      <w:bodyDiv w:val="1"/>
      <w:marLeft w:val="0"/>
      <w:marRight w:val="0"/>
      <w:marTop w:val="0"/>
      <w:marBottom w:val="0"/>
      <w:divBdr>
        <w:top w:val="none" w:sz="0" w:space="0" w:color="auto"/>
        <w:left w:val="none" w:sz="0" w:space="0" w:color="auto"/>
        <w:bottom w:val="none" w:sz="0" w:space="0" w:color="auto"/>
        <w:right w:val="none" w:sz="0" w:space="0" w:color="auto"/>
      </w:divBdr>
    </w:div>
    <w:div w:id="875233765">
      <w:bodyDiv w:val="1"/>
      <w:marLeft w:val="0"/>
      <w:marRight w:val="0"/>
      <w:marTop w:val="0"/>
      <w:marBottom w:val="0"/>
      <w:divBdr>
        <w:top w:val="none" w:sz="0" w:space="0" w:color="auto"/>
        <w:left w:val="none" w:sz="0" w:space="0" w:color="auto"/>
        <w:bottom w:val="none" w:sz="0" w:space="0" w:color="auto"/>
        <w:right w:val="none" w:sz="0" w:space="0" w:color="auto"/>
      </w:divBdr>
    </w:div>
    <w:div w:id="1046489114">
      <w:bodyDiv w:val="1"/>
      <w:marLeft w:val="0"/>
      <w:marRight w:val="0"/>
      <w:marTop w:val="0"/>
      <w:marBottom w:val="0"/>
      <w:divBdr>
        <w:top w:val="none" w:sz="0" w:space="0" w:color="auto"/>
        <w:left w:val="none" w:sz="0" w:space="0" w:color="auto"/>
        <w:bottom w:val="none" w:sz="0" w:space="0" w:color="auto"/>
        <w:right w:val="none" w:sz="0" w:space="0" w:color="auto"/>
      </w:divBdr>
      <w:divsChild>
        <w:div w:id="726612338">
          <w:marLeft w:val="0"/>
          <w:marRight w:val="0"/>
          <w:marTop w:val="0"/>
          <w:marBottom w:val="0"/>
          <w:divBdr>
            <w:top w:val="none" w:sz="0" w:space="0" w:color="auto"/>
            <w:left w:val="none" w:sz="0" w:space="0" w:color="auto"/>
            <w:bottom w:val="none" w:sz="0" w:space="0" w:color="auto"/>
            <w:right w:val="none" w:sz="0" w:space="0" w:color="auto"/>
          </w:divBdr>
        </w:div>
        <w:div w:id="1856571177">
          <w:marLeft w:val="0"/>
          <w:marRight w:val="0"/>
          <w:marTop w:val="0"/>
          <w:marBottom w:val="0"/>
          <w:divBdr>
            <w:top w:val="none" w:sz="0" w:space="0" w:color="auto"/>
            <w:left w:val="none" w:sz="0" w:space="0" w:color="auto"/>
            <w:bottom w:val="none" w:sz="0" w:space="0" w:color="auto"/>
            <w:right w:val="none" w:sz="0" w:space="0" w:color="auto"/>
          </w:divBdr>
        </w:div>
        <w:div w:id="812062640">
          <w:marLeft w:val="0"/>
          <w:marRight w:val="0"/>
          <w:marTop w:val="0"/>
          <w:marBottom w:val="0"/>
          <w:divBdr>
            <w:top w:val="none" w:sz="0" w:space="0" w:color="auto"/>
            <w:left w:val="none" w:sz="0" w:space="0" w:color="auto"/>
            <w:bottom w:val="none" w:sz="0" w:space="0" w:color="auto"/>
            <w:right w:val="none" w:sz="0" w:space="0" w:color="auto"/>
          </w:divBdr>
        </w:div>
        <w:div w:id="1079981293">
          <w:marLeft w:val="0"/>
          <w:marRight w:val="0"/>
          <w:marTop w:val="0"/>
          <w:marBottom w:val="0"/>
          <w:divBdr>
            <w:top w:val="none" w:sz="0" w:space="0" w:color="auto"/>
            <w:left w:val="none" w:sz="0" w:space="0" w:color="auto"/>
            <w:bottom w:val="none" w:sz="0" w:space="0" w:color="auto"/>
            <w:right w:val="none" w:sz="0" w:space="0" w:color="auto"/>
          </w:divBdr>
        </w:div>
        <w:div w:id="2007124710">
          <w:marLeft w:val="0"/>
          <w:marRight w:val="0"/>
          <w:marTop w:val="0"/>
          <w:marBottom w:val="0"/>
          <w:divBdr>
            <w:top w:val="none" w:sz="0" w:space="0" w:color="auto"/>
            <w:left w:val="none" w:sz="0" w:space="0" w:color="auto"/>
            <w:bottom w:val="none" w:sz="0" w:space="0" w:color="auto"/>
            <w:right w:val="none" w:sz="0" w:space="0" w:color="auto"/>
          </w:divBdr>
        </w:div>
        <w:div w:id="2134906152">
          <w:marLeft w:val="0"/>
          <w:marRight w:val="0"/>
          <w:marTop w:val="0"/>
          <w:marBottom w:val="0"/>
          <w:divBdr>
            <w:top w:val="none" w:sz="0" w:space="0" w:color="auto"/>
            <w:left w:val="none" w:sz="0" w:space="0" w:color="auto"/>
            <w:bottom w:val="none" w:sz="0" w:space="0" w:color="auto"/>
            <w:right w:val="none" w:sz="0" w:space="0" w:color="auto"/>
          </w:divBdr>
        </w:div>
        <w:div w:id="598485195">
          <w:marLeft w:val="0"/>
          <w:marRight w:val="0"/>
          <w:marTop w:val="0"/>
          <w:marBottom w:val="0"/>
          <w:divBdr>
            <w:top w:val="none" w:sz="0" w:space="0" w:color="auto"/>
            <w:left w:val="none" w:sz="0" w:space="0" w:color="auto"/>
            <w:bottom w:val="none" w:sz="0" w:space="0" w:color="auto"/>
            <w:right w:val="none" w:sz="0" w:space="0" w:color="auto"/>
          </w:divBdr>
        </w:div>
        <w:div w:id="1973513612">
          <w:marLeft w:val="0"/>
          <w:marRight w:val="0"/>
          <w:marTop w:val="0"/>
          <w:marBottom w:val="0"/>
          <w:divBdr>
            <w:top w:val="none" w:sz="0" w:space="0" w:color="auto"/>
            <w:left w:val="none" w:sz="0" w:space="0" w:color="auto"/>
            <w:bottom w:val="none" w:sz="0" w:space="0" w:color="auto"/>
            <w:right w:val="none" w:sz="0" w:space="0" w:color="auto"/>
          </w:divBdr>
        </w:div>
        <w:div w:id="945189417">
          <w:marLeft w:val="0"/>
          <w:marRight w:val="0"/>
          <w:marTop w:val="0"/>
          <w:marBottom w:val="0"/>
          <w:divBdr>
            <w:top w:val="none" w:sz="0" w:space="0" w:color="auto"/>
            <w:left w:val="none" w:sz="0" w:space="0" w:color="auto"/>
            <w:bottom w:val="none" w:sz="0" w:space="0" w:color="auto"/>
            <w:right w:val="none" w:sz="0" w:space="0" w:color="auto"/>
          </w:divBdr>
        </w:div>
      </w:divsChild>
    </w:div>
    <w:div w:id="1129737182">
      <w:bodyDiv w:val="1"/>
      <w:marLeft w:val="0"/>
      <w:marRight w:val="0"/>
      <w:marTop w:val="0"/>
      <w:marBottom w:val="0"/>
      <w:divBdr>
        <w:top w:val="none" w:sz="0" w:space="0" w:color="auto"/>
        <w:left w:val="none" w:sz="0" w:space="0" w:color="auto"/>
        <w:bottom w:val="none" w:sz="0" w:space="0" w:color="auto"/>
        <w:right w:val="none" w:sz="0" w:space="0" w:color="auto"/>
      </w:divBdr>
    </w:div>
    <w:div w:id="1397166392">
      <w:bodyDiv w:val="1"/>
      <w:marLeft w:val="0"/>
      <w:marRight w:val="0"/>
      <w:marTop w:val="0"/>
      <w:marBottom w:val="0"/>
      <w:divBdr>
        <w:top w:val="none" w:sz="0" w:space="0" w:color="auto"/>
        <w:left w:val="none" w:sz="0" w:space="0" w:color="auto"/>
        <w:bottom w:val="none" w:sz="0" w:space="0" w:color="auto"/>
        <w:right w:val="none" w:sz="0" w:space="0" w:color="auto"/>
      </w:divBdr>
    </w:div>
    <w:div w:id="1663317518">
      <w:bodyDiv w:val="1"/>
      <w:marLeft w:val="0"/>
      <w:marRight w:val="0"/>
      <w:marTop w:val="0"/>
      <w:marBottom w:val="0"/>
      <w:divBdr>
        <w:top w:val="none" w:sz="0" w:space="0" w:color="auto"/>
        <w:left w:val="none" w:sz="0" w:space="0" w:color="auto"/>
        <w:bottom w:val="none" w:sz="0" w:space="0" w:color="auto"/>
        <w:right w:val="none" w:sz="0" w:space="0" w:color="auto"/>
      </w:divBdr>
    </w:div>
    <w:div w:id="1793356989">
      <w:bodyDiv w:val="1"/>
      <w:marLeft w:val="0"/>
      <w:marRight w:val="0"/>
      <w:marTop w:val="0"/>
      <w:marBottom w:val="0"/>
      <w:divBdr>
        <w:top w:val="none" w:sz="0" w:space="0" w:color="auto"/>
        <w:left w:val="none" w:sz="0" w:space="0" w:color="auto"/>
        <w:bottom w:val="none" w:sz="0" w:space="0" w:color="auto"/>
        <w:right w:val="none" w:sz="0" w:space="0" w:color="auto"/>
      </w:divBdr>
    </w:div>
    <w:div w:id="2037347296">
      <w:bodyDiv w:val="1"/>
      <w:marLeft w:val="0"/>
      <w:marRight w:val="0"/>
      <w:marTop w:val="0"/>
      <w:marBottom w:val="0"/>
      <w:divBdr>
        <w:top w:val="none" w:sz="0" w:space="0" w:color="auto"/>
        <w:left w:val="none" w:sz="0" w:space="0" w:color="auto"/>
        <w:bottom w:val="none" w:sz="0" w:space="0" w:color="auto"/>
        <w:right w:val="none" w:sz="0" w:space="0" w:color="auto"/>
      </w:divBdr>
      <w:divsChild>
        <w:div w:id="57397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CC90-B856-42F5-92AC-3B28BBDD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2</cp:revision>
  <dcterms:created xsi:type="dcterms:W3CDTF">2019-10-18T19:27:00Z</dcterms:created>
  <dcterms:modified xsi:type="dcterms:W3CDTF">2019-10-18T19:27:00Z</dcterms:modified>
</cp:coreProperties>
</file>