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FB" w:rsidRPr="006B60FB" w:rsidRDefault="006B60FB" w:rsidP="006B60FB">
      <w:pPr>
        <w:bidi w:val="0"/>
        <w:jc w:val="center"/>
        <w:rPr>
          <w:rFonts w:asciiTheme="majorBidi" w:hAnsiTheme="majorBidi" w:cstheme="majorBidi"/>
          <w:b/>
          <w:bCs/>
          <w:sz w:val="28"/>
          <w:szCs w:val="28"/>
        </w:rPr>
      </w:pPr>
      <w:r>
        <w:rPr>
          <w:rFonts w:asciiTheme="majorBidi" w:hAnsiTheme="majorBidi" w:cstheme="majorBidi"/>
          <w:b/>
          <w:bCs/>
          <w:sz w:val="28"/>
          <w:szCs w:val="28"/>
        </w:rPr>
        <w:t>The 20</w:t>
      </w:r>
      <w:r w:rsidRPr="006B60FB">
        <w:rPr>
          <w:rFonts w:asciiTheme="majorBidi" w:hAnsiTheme="majorBidi" w:cstheme="majorBidi"/>
          <w:b/>
          <w:bCs/>
          <w:sz w:val="28"/>
          <w:szCs w:val="28"/>
        </w:rPr>
        <w:t>1</w:t>
      </w:r>
      <w:bookmarkStart w:id="0" w:name="_GoBack"/>
      <w:bookmarkEnd w:id="0"/>
      <w:r w:rsidRPr="006B60FB">
        <w:rPr>
          <w:rFonts w:asciiTheme="majorBidi" w:hAnsiTheme="majorBidi" w:cstheme="majorBidi"/>
          <w:b/>
          <w:bCs/>
          <w:sz w:val="28"/>
          <w:szCs w:val="28"/>
        </w:rPr>
        <w:t>6 Palestinian Juvenile Protection Law</w:t>
      </w:r>
    </w:p>
    <w:p w:rsidR="006B60FB" w:rsidRPr="006B60FB" w:rsidRDefault="006B60FB" w:rsidP="006B60FB">
      <w:pPr>
        <w:bidi w:val="0"/>
        <w:jc w:val="center"/>
        <w:rPr>
          <w:rFonts w:asciiTheme="majorBidi" w:hAnsiTheme="majorBidi" w:cstheme="majorBidi"/>
          <w:b/>
          <w:bCs/>
          <w:sz w:val="28"/>
          <w:szCs w:val="28"/>
        </w:rPr>
      </w:pPr>
      <w:r w:rsidRPr="006B60FB">
        <w:rPr>
          <w:rFonts w:asciiTheme="majorBidi" w:hAnsiTheme="majorBidi" w:cstheme="majorBidi"/>
          <w:b/>
          <w:bCs/>
          <w:sz w:val="28"/>
          <w:szCs w:val="28"/>
        </w:rPr>
        <w:t>A Quest for Further Reform</w:t>
      </w:r>
    </w:p>
    <w:p w:rsidR="006B60FB" w:rsidRPr="006B60FB" w:rsidRDefault="006B60FB" w:rsidP="006B60FB">
      <w:pPr>
        <w:bidi w:val="0"/>
        <w:spacing w:after="0" w:line="240" w:lineRule="auto"/>
        <w:jc w:val="center"/>
        <w:rPr>
          <w:rFonts w:asciiTheme="majorBidi" w:eastAsia="Times New Roman" w:hAnsiTheme="majorBidi" w:cstheme="majorBidi"/>
          <w:color w:val="000000" w:themeColor="text1"/>
          <w:sz w:val="24"/>
          <w:szCs w:val="24"/>
        </w:rPr>
      </w:pPr>
      <w:r w:rsidRPr="006B60FB">
        <w:rPr>
          <w:rFonts w:asciiTheme="majorBidi" w:eastAsia="Times New Roman" w:hAnsiTheme="majorBidi" w:cstheme="majorBidi"/>
          <w:color w:val="000000" w:themeColor="text1"/>
          <w:sz w:val="24"/>
          <w:szCs w:val="24"/>
        </w:rPr>
        <w:t xml:space="preserve">Dr. </w:t>
      </w:r>
      <w:proofErr w:type="spellStart"/>
      <w:r w:rsidRPr="006B60FB">
        <w:rPr>
          <w:rFonts w:asciiTheme="majorBidi" w:eastAsia="Times New Roman" w:hAnsiTheme="majorBidi" w:cstheme="majorBidi"/>
          <w:color w:val="000000" w:themeColor="text1"/>
          <w:sz w:val="24"/>
          <w:szCs w:val="24"/>
        </w:rPr>
        <w:t>Mutaz</w:t>
      </w:r>
      <w:proofErr w:type="spellEnd"/>
      <w:r w:rsidRPr="006B60FB">
        <w:rPr>
          <w:rFonts w:asciiTheme="majorBidi" w:eastAsia="Times New Roman" w:hAnsiTheme="majorBidi" w:cstheme="majorBidi"/>
          <w:color w:val="000000" w:themeColor="text1"/>
          <w:sz w:val="24"/>
          <w:szCs w:val="24"/>
        </w:rPr>
        <w:t xml:space="preserve"> M. </w:t>
      </w:r>
      <w:proofErr w:type="spellStart"/>
      <w:r w:rsidRPr="006B60FB">
        <w:rPr>
          <w:rFonts w:asciiTheme="majorBidi" w:eastAsia="Times New Roman" w:hAnsiTheme="majorBidi" w:cstheme="majorBidi"/>
          <w:color w:val="000000" w:themeColor="text1"/>
          <w:sz w:val="24"/>
          <w:szCs w:val="24"/>
        </w:rPr>
        <w:t>Qafisheh</w:t>
      </w:r>
      <w:proofErr w:type="spellEnd"/>
      <w:r w:rsidRPr="006B60FB">
        <w:rPr>
          <w:rFonts w:asciiTheme="majorBidi" w:eastAsia="Times New Roman" w:hAnsiTheme="majorBidi" w:cstheme="majorBidi"/>
          <w:color w:val="000000" w:themeColor="text1"/>
          <w:sz w:val="24"/>
          <w:szCs w:val="24"/>
        </w:rPr>
        <w:t>*</w:t>
      </w:r>
    </w:p>
    <w:p w:rsidR="006B60FB" w:rsidRPr="006B60FB" w:rsidRDefault="006B60FB" w:rsidP="006B60FB">
      <w:pPr>
        <w:bidi w:val="0"/>
        <w:spacing w:after="0" w:line="240" w:lineRule="auto"/>
        <w:jc w:val="center"/>
        <w:rPr>
          <w:rFonts w:asciiTheme="majorBidi" w:eastAsia="Times New Roman" w:hAnsiTheme="majorBidi" w:cstheme="majorBidi"/>
          <w:color w:val="000000" w:themeColor="text1"/>
          <w:sz w:val="24"/>
          <w:szCs w:val="24"/>
        </w:rPr>
      </w:pPr>
    </w:p>
    <w:p w:rsidR="006B60FB" w:rsidRPr="006B60FB" w:rsidRDefault="006B60FB" w:rsidP="006B60FB">
      <w:pPr>
        <w:bidi w:val="0"/>
        <w:spacing w:after="0" w:line="240" w:lineRule="auto"/>
        <w:jc w:val="center"/>
        <w:rPr>
          <w:rFonts w:asciiTheme="majorBidi" w:eastAsia="Times New Roman" w:hAnsiTheme="majorBidi" w:cstheme="majorBidi"/>
          <w:color w:val="000000" w:themeColor="text1"/>
          <w:sz w:val="24"/>
          <w:szCs w:val="24"/>
        </w:rPr>
      </w:pPr>
      <w:r w:rsidRPr="006B60FB">
        <w:rPr>
          <w:rFonts w:asciiTheme="majorBidi" w:eastAsia="Times New Roman" w:hAnsiTheme="majorBidi" w:cstheme="majorBidi"/>
          <w:color w:val="000000" w:themeColor="text1"/>
          <w:sz w:val="24"/>
          <w:szCs w:val="24"/>
        </w:rPr>
        <w:t>December 2016</w:t>
      </w:r>
    </w:p>
    <w:p w:rsidR="006B60FB" w:rsidRPr="006B60FB" w:rsidRDefault="006B60FB" w:rsidP="006B60FB">
      <w:pPr>
        <w:pBdr>
          <w:bottom w:val="single" w:sz="6" w:space="1" w:color="auto"/>
        </w:pBdr>
        <w:bidi w:val="0"/>
        <w:spacing w:after="0" w:line="240" w:lineRule="auto"/>
        <w:jc w:val="center"/>
        <w:rPr>
          <w:rFonts w:asciiTheme="majorBidi" w:eastAsia="Times New Roman" w:hAnsiTheme="majorBidi" w:cstheme="majorBidi"/>
          <w:color w:val="000000" w:themeColor="text1"/>
          <w:sz w:val="24"/>
          <w:szCs w:val="24"/>
        </w:rPr>
      </w:pPr>
    </w:p>
    <w:p w:rsidR="006B60FB" w:rsidRPr="006B60FB" w:rsidRDefault="006B60FB" w:rsidP="006B60FB">
      <w:pPr>
        <w:bidi w:val="0"/>
        <w:spacing w:after="0" w:line="240" w:lineRule="auto"/>
        <w:jc w:val="center"/>
        <w:rPr>
          <w:rFonts w:asciiTheme="majorBidi" w:eastAsia="Times New Roman" w:hAnsiTheme="majorBidi" w:cstheme="majorBidi"/>
          <w:color w:val="000000" w:themeColor="text1"/>
          <w:sz w:val="24"/>
          <w:szCs w:val="24"/>
        </w:rPr>
      </w:pPr>
    </w:p>
    <w:p w:rsidR="006B60FB" w:rsidRPr="006B60FB" w:rsidRDefault="006B60FB" w:rsidP="006B60FB">
      <w:pPr>
        <w:bidi w:val="0"/>
        <w:spacing w:after="0" w:line="240" w:lineRule="auto"/>
        <w:jc w:val="center"/>
        <w:rPr>
          <w:rFonts w:asciiTheme="majorBidi" w:eastAsia="Times New Roman" w:hAnsiTheme="majorBidi" w:cstheme="majorBidi"/>
          <w:b/>
          <w:bCs/>
          <w:color w:val="000000" w:themeColor="text1"/>
          <w:sz w:val="24"/>
          <w:szCs w:val="24"/>
        </w:rPr>
      </w:pPr>
      <w:r w:rsidRPr="006B60FB">
        <w:rPr>
          <w:rFonts w:asciiTheme="majorBidi" w:eastAsia="Times New Roman" w:hAnsiTheme="majorBidi" w:cstheme="majorBidi"/>
          <w:b/>
          <w:bCs/>
          <w:color w:val="000000" w:themeColor="text1"/>
          <w:sz w:val="24"/>
          <w:szCs w:val="24"/>
        </w:rPr>
        <w:t>Introduction</w:t>
      </w:r>
    </w:p>
    <w:p w:rsidR="006B60FB" w:rsidRPr="006B60FB" w:rsidRDefault="006B60FB" w:rsidP="006B60FB">
      <w:pPr>
        <w:bidi w:val="0"/>
        <w:spacing w:after="0" w:line="240" w:lineRule="auto"/>
        <w:contextualSpacing/>
        <w:jc w:val="both"/>
        <w:rPr>
          <w:rFonts w:asciiTheme="majorBidi" w:eastAsia="Calibri" w:hAnsiTheme="majorBidi" w:cstheme="majorBidi"/>
          <w:color w:val="000000" w:themeColor="text1"/>
          <w:sz w:val="24"/>
          <w:szCs w:val="24"/>
        </w:rPr>
      </w:pPr>
    </w:p>
    <w:p w:rsidR="006B60FB" w:rsidRPr="006B60FB" w:rsidRDefault="006B60FB" w:rsidP="006B60FB">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sidRPr="006B60FB">
        <w:rPr>
          <w:rFonts w:asciiTheme="majorBidi" w:eastAsia="Times New Roman" w:hAnsiTheme="majorBidi" w:cstheme="majorBidi"/>
          <w:color w:val="000000" w:themeColor="text1"/>
          <w:sz w:val="24"/>
          <w:szCs w:val="24"/>
        </w:rPr>
        <w:t>The State of Palestine became party to the International Convention on the Rights of the Child of 20 November 1989 (CRC)</w:t>
      </w:r>
      <w:r w:rsidRPr="006B60FB">
        <w:rPr>
          <w:rFonts w:asciiTheme="majorBidi" w:eastAsia="Times New Roman" w:hAnsiTheme="majorBidi" w:cstheme="majorBidi"/>
          <w:color w:val="000000" w:themeColor="text1"/>
          <w:sz w:val="24"/>
          <w:szCs w:val="24"/>
          <w:vertAlign w:val="superscript"/>
        </w:rPr>
        <w:footnoteReference w:id="1"/>
      </w:r>
      <w:r w:rsidRPr="006B60FB">
        <w:rPr>
          <w:rFonts w:asciiTheme="majorBidi" w:eastAsia="Times New Roman" w:hAnsiTheme="majorBidi" w:cstheme="majorBidi"/>
          <w:color w:val="000000" w:themeColor="text1"/>
          <w:sz w:val="24"/>
          <w:szCs w:val="24"/>
        </w:rPr>
        <w:t xml:space="preserve"> on 2 April 2014.</w:t>
      </w:r>
      <w:r w:rsidRPr="006B60FB">
        <w:rPr>
          <w:rFonts w:asciiTheme="majorBidi" w:eastAsia="Times New Roman" w:hAnsiTheme="majorBidi" w:cstheme="majorBidi"/>
          <w:color w:val="000000" w:themeColor="text1"/>
          <w:sz w:val="24"/>
          <w:szCs w:val="24"/>
          <w:vertAlign w:val="superscript"/>
        </w:rPr>
        <w:footnoteReference w:id="2"/>
      </w:r>
      <w:r w:rsidRPr="006B60FB">
        <w:rPr>
          <w:rFonts w:asciiTheme="majorBidi" w:eastAsia="Times New Roman" w:hAnsiTheme="majorBidi" w:cstheme="majorBidi"/>
          <w:color w:val="000000" w:themeColor="text1"/>
          <w:sz w:val="24"/>
          <w:szCs w:val="24"/>
        </w:rPr>
        <w:t xml:space="preserve"> Less than two years later, on 4 February 2016, President Mahmoud Abbas enacted Decree-Law No. 4 Concerning Juvenile Protection (hereinafter "Juvenile Protection Law" or "the Law"),</w:t>
      </w:r>
      <w:r w:rsidRPr="006B60FB">
        <w:rPr>
          <w:rFonts w:asciiTheme="majorBidi" w:eastAsia="Times New Roman" w:hAnsiTheme="majorBidi" w:cstheme="majorBidi"/>
          <w:color w:val="000000" w:themeColor="text1"/>
          <w:sz w:val="24"/>
          <w:szCs w:val="24"/>
          <w:vertAlign w:val="superscript"/>
        </w:rPr>
        <w:footnoteReference w:id="3"/>
      </w:r>
      <w:r w:rsidRPr="006B60FB">
        <w:rPr>
          <w:rFonts w:asciiTheme="majorBidi" w:eastAsia="Times New Roman" w:hAnsiTheme="majorBidi" w:cstheme="majorBidi"/>
          <w:color w:val="000000" w:themeColor="text1"/>
          <w:sz w:val="24"/>
          <w:szCs w:val="24"/>
        </w:rPr>
        <w:t xml:space="preserve"> which set forth the rights of children in conflict with the law and reformed the entire child justice system.</w:t>
      </w:r>
      <w:r w:rsidRPr="006B60FB">
        <w:rPr>
          <w:rFonts w:asciiTheme="majorBidi" w:eastAsia="Times New Roman" w:hAnsiTheme="majorBidi" w:cstheme="majorBidi"/>
          <w:color w:val="000000" w:themeColor="text1"/>
          <w:sz w:val="24"/>
          <w:szCs w:val="24"/>
          <w:vertAlign w:val="superscript"/>
        </w:rPr>
        <w:footnoteReference w:id="4"/>
      </w:r>
      <w:r w:rsidRPr="006B60FB">
        <w:rPr>
          <w:rFonts w:asciiTheme="majorBidi" w:eastAsia="Times New Roman" w:hAnsiTheme="majorBidi" w:cstheme="majorBidi"/>
          <w:color w:val="000000" w:themeColor="text1"/>
          <w:sz w:val="24"/>
          <w:szCs w:val="24"/>
        </w:rPr>
        <w:t xml:space="preserve"> The Law incorporated the international standards relating to children as enshrined in the CRC and other soft law rules. The question remains: would the legal texts, as manifested by the accession to the Convention and by the aforesaid Law, be materialized at the institutional and practical levels?</w:t>
      </w:r>
    </w:p>
    <w:p w:rsidR="006B60FB" w:rsidRPr="006B60FB" w:rsidRDefault="006B60FB" w:rsidP="006B60FB">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p>
    <w:p w:rsidR="00C00432" w:rsidRPr="00894E1A" w:rsidRDefault="006B60FB" w:rsidP="006B60FB">
      <w:pPr>
        <w:tabs>
          <w:tab w:val="right" w:pos="2160"/>
          <w:tab w:val="left" w:pos="7667"/>
        </w:tabs>
        <w:bidi w:val="0"/>
        <w:spacing w:after="0" w:line="240" w:lineRule="auto"/>
        <w:jc w:val="both"/>
        <w:rPr>
          <w:rFonts w:asciiTheme="majorBidi" w:hAnsiTheme="majorBidi" w:cstheme="majorBidi"/>
          <w:b/>
          <w:bCs/>
          <w:i/>
          <w:iCs/>
          <w:color w:val="000000" w:themeColor="text1"/>
          <w:sz w:val="20"/>
          <w:szCs w:val="20"/>
          <w:rtl/>
          <w:lang w:bidi="ar-JO"/>
        </w:rPr>
      </w:pPr>
      <w:r w:rsidRPr="006B60FB">
        <w:rPr>
          <w:rFonts w:asciiTheme="majorBidi" w:eastAsia="Times New Roman" w:hAnsiTheme="majorBidi" w:cstheme="majorBidi"/>
          <w:color w:val="000000" w:themeColor="text1"/>
          <w:sz w:val="24"/>
          <w:szCs w:val="24"/>
        </w:rPr>
        <w:t>The number of children in conflict with the law is on the rise.</w:t>
      </w:r>
      <w:r w:rsidRPr="006B60FB">
        <w:rPr>
          <w:rFonts w:asciiTheme="majorBidi" w:eastAsia="Times New Roman" w:hAnsiTheme="majorBidi" w:cstheme="majorBidi"/>
          <w:color w:val="000000" w:themeColor="text1"/>
          <w:sz w:val="24"/>
          <w:szCs w:val="24"/>
          <w:vertAlign w:val="superscript"/>
        </w:rPr>
        <w:footnoteReference w:id="5"/>
      </w:r>
      <w:r w:rsidRPr="006B60FB">
        <w:rPr>
          <w:rFonts w:asciiTheme="majorBidi" w:eastAsia="Times New Roman" w:hAnsiTheme="majorBidi" w:cstheme="majorBidi"/>
          <w:color w:val="000000" w:themeColor="text1"/>
          <w:sz w:val="24"/>
          <w:szCs w:val="24"/>
        </w:rPr>
        <w:t xml:space="preserve"> While the number of children who broke the law in the West Bank was 637 in 2005,</w:t>
      </w:r>
      <w:r w:rsidRPr="006B60FB">
        <w:rPr>
          <w:rFonts w:asciiTheme="majorBidi" w:eastAsia="Times New Roman" w:hAnsiTheme="majorBidi" w:cstheme="majorBidi"/>
          <w:color w:val="000000" w:themeColor="text1"/>
          <w:sz w:val="24"/>
          <w:szCs w:val="24"/>
          <w:vertAlign w:val="superscript"/>
        </w:rPr>
        <w:footnoteReference w:id="6"/>
      </w:r>
      <w:r w:rsidRPr="006B60FB">
        <w:rPr>
          <w:rFonts w:asciiTheme="majorBidi" w:eastAsia="Times New Roman" w:hAnsiTheme="majorBidi" w:cstheme="majorBidi"/>
          <w:color w:val="000000" w:themeColor="text1"/>
          <w:sz w:val="24"/>
          <w:szCs w:val="24"/>
        </w:rPr>
        <w:t xml:space="preserve"> it increased into 2,457 in 2014.</w:t>
      </w:r>
      <w:r w:rsidRPr="006B60FB">
        <w:rPr>
          <w:rFonts w:asciiTheme="majorBidi" w:eastAsia="Times New Roman" w:hAnsiTheme="majorBidi" w:cstheme="majorBidi"/>
          <w:color w:val="000000" w:themeColor="text1"/>
          <w:sz w:val="24"/>
          <w:szCs w:val="24"/>
          <w:vertAlign w:val="superscript"/>
        </w:rPr>
        <w:footnoteReference w:id="7"/>
      </w:r>
      <w:r w:rsidRPr="006B60FB">
        <w:rPr>
          <w:rFonts w:asciiTheme="majorBidi" w:eastAsia="Times New Roman" w:hAnsiTheme="majorBidi" w:cstheme="majorBidi"/>
          <w:color w:val="000000" w:themeColor="text1"/>
          <w:sz w:val="24"/>
          <w:szCs w:val="24"/>
        </w:rPr>
        <w:t xml:space="preserve"> Yet no concrete effort has been undertaken to systematically resolve the issue of such children, despite the progress made at the global level and in certain states in the Middle East,</w:t>
      </w:r>
      <w:r w:rsidRPr="006B60FB">
        <w:rPr>
          <w:rFonts w:asciiTheme="majorBidi" w:eastAsia="Times New Roman" w:hAnsiTheme="majorBidi" w:cstheme="majorBidi"/>
          <w:color w:val="000000" w:themeColor="text1"/>
          <w:sz w:val="24"/>
          <w:szCs w:val="24"/>
          <w:vertAlign w:val="superscript"/>
        </w:rPr>
        <w:footnoteReference w:id="8"/>
      </w:r>
      <w:r w:rsidRPr="006B60FB">
        <w:rPr>
          <w:rFonts w:asciiTheme="majorBidi" w:eastAsia="Times New Roman" w:hAnsiTheme="majorBidi" w:cstheme="majorBidi"/>
          <w:color w:val="000000" w:themeColor="text1"/>
          <w:sz w:val="24"/>
          <w:szCs w:val="24"/>
        </w:rPr>
        <w:t xml:space="preserve"> and the significant developments of the Palestinian legal</w:t>
      </w:r>
    </w:p>
    <w:sectPr w:rsidR="00C00432" w:rsidRPr="00894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EE" w:rsidRDefault="002240EE" w:rsidP="00823E6C">
      <w:pPr>
        <w:spacing w:after="0" w:line="240" w:lineRule="auto"/>
      </w:pPr>
      <w:r>
        <w:separator/>
      </w:r>
    </w:p>
  </w:endnote>
  <w:endnote w:type="continuationSeparator" w:id="0">
    <w:p w:rsidR="002240EE" w:rsidRDefault="002240EE" w:rsidP="0082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EE" w:rsidRDefault="002240EE" w:rsidP="00823E6C">
      <w:pPr>
        <w:spacing w:after="0" w:line="240" w:lineRule="auto"/>
      </w:pPr>
      <w:r>
        <w:separator/>
      </w:r>
    </w:p>
  </w:footnote>
  <w:footnote w:type="continuationSeparator" w:id="0">
    <w:p w:rsidR="002240EE" w:rsidRDefault="002240EE" w:rsidP="00823E6C">
      <w:pPr>
        <w:spacing w:after="0" w:line="240" w:lineRule="auto"/>
      </w:pPr>
      <w:r>
        <w:continuationSeparator/>
      </w:r>
    </w:p>
  </w:footnote>
  <w:footnote w:id="1">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Fonts w:asciiTheme="majorBidi" w:hAnsiTheme="majorBidi" w:cstheme="majorBidi"/>
          <w:color w:val="000000" w:themeColor="text1"/>
        </w:rPr>
        <w:t xml:space="preserve">* Dean and Associate Professor of Public International Law, Hebron University College of Law &amp; Political Science, Palestine. Dr. </w:t>
      </w:r>
      <w:proofErr w:type="spellStart"/>
      <w:r w:rsidRPr="00F01FC3">
        <w:rPr>
          <w:rFonts w:asciiTheme="majorBidi" w:hAnsiTheme="majorBidi" w:cstheme="majorBidi"/>
          <w:color w:val="000000" w:themeColor="text1"/>
        </w:rPr>
        <w:t>Qafisheh</w:t>
      </w:r>
      <w:proofErr w:type="spellEnd"/>
      <w:r w:rsidRPr="00F01FC3">
        <w:rPr>
          <w:rFonts w:asciiTheme="majorBidi" w:hAnsiTheme="majorBidi" w:cstheme="majorBidi"/>
          <w:color w:val="000000" w:themeColor="text1"/>
        </w:rPr>
        <w:t xml:space="preserve"> holds PhD in International Law from the Graduate Institute of International and Development Studies in Geneva. He is a PhD Supervisor at University of Exeter School of Law, UK; Member of the International Law Association’s ICC Complementarity Committee, London. He is a former Human Rights Officer at the United Nations in Geneva, Beirut, and Ramallah; Regional Director for the Middle East and North Africa of Penal Reform International, Amman; and Legal Advisor to the Palestinian Parliament. He published six books and over 30 refereed articles in Oxford, Cambridge, The Hague, London, Oslo and elsewhere. All translations are done by the writer. Any mistake is mine. Email: </w:t>
      </w:r>
      <w:hyperlink r:id="rId1" w:history="1">
        <w:r w:rsidRPr="00F01FC3">
          <w:rPr>
            <w:rFonts w:asciiTheme="majorBidi" w:hAnsiTheme="majorBidi" w:cstheme="majorBidi"/>
            <w:color w:val="000000" w:themeColor="text1"/>
          </w:rPr>
          <w:t>mmqafisheh@gmail.com</w:t>
        </w:r>
      </w:hyperlink>
      <w:r w:rsidRPr="00F01FC3">
        <w:rPr>
          <w:rFonts w:asciiTheme="majorBidi" w:hAnsiTheme="majorBidi" w:cstheme="majorBidi"/>
          <w:color w:val="000000" w:themeColor="text1"/>
        </w:rPr>
        <w:t xml:space="preserve"> or </w:t>
      </w:r>
      <w:hyperlink r:id="rId2" w:history="1">
        <w:r w:rsidRPr="00F01FC3">
          <w:rPr>
            <w:rFonts w:asciiTheme="majorBidi" w:hAnsiTheme="majorBidi" w:cstheme="majorBidi"/>
            <w:color w:val="000000" w:themeColor="text1"/>
          </w:rPr>
          <w:t>mutazq@hebron.edu</w:t>
        </w:r>
      </w:hyperlink>
      <w:r w:rsidRPr="00F01FC3">
        <w:rPr>
          <w:rFonts w:asciiTheme="majorBidi" w:hAnsiTheme="majorBidi" w:cstheme="majorBidi"/>
          <w:color w:val="000000" w:themeColor="text1"/>
        </w:rPr>
        <w:t>.</w:t>
      </w:r>
    </w:p>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tl/>
        </w:rPr>
        <w:t xml:space="preserve"> </w:t>
      </w:r>
      <w:r w:rsidRPr="00F01FC3">
        <w:rPr>
          <w:rFonts w:asciiTheme="majorBidi" w:hAnsiTheme="majorBidi" w:cstheme="majorBidi"/>
          <w:color w:val="000000" w:themeColor="text1"/>
        </w:rPr>
        <w:t xml:space="preserve">1577 </w:t>
      </w:r>
      <w:r w:rsidRPr="00F01FC3">
        <w:rPr>
          <w:rFonts w:asciiTheme="majorBidi" w:hAnsiTheme="majorBidi" w:cstheme="majorBidi"/>
          <w:i/>
          <w:iCs/>
          <w:color w:val="000000" w:themeColor="text1"/>
        </w:rPr>
        <w:t>United Nations Treaty Series</w:t>
      </w:r>
      <w:r w:rsidRPr="00F01FC3">
        <w:rPr>
          <w:rFonts w:asciiTheme="majorBidi" w:hAnsiTheme="majorBidi" w:cstheme="majorBidi"/>
          <w:color w:val="000000" w:themeColor="text1"/>
        </w:rPr>
        <w:t xml:space="preserve"> (UNTS) 3, entered into force 2 September 1990.</w:t>
      </w:r>
    </w:p>
  </w:footnote>
  <w:footnote w:id="2">
    <w:p w:rsidR="006B60FB" w:rsidRPr="00F01FC3" w:rsidRDefault="006B60FB" w:rsidP="006B60FB">
      <w:pPr>
        <w:tabs>
          <w:tab w:val="right" w:pos="993"/>
        </w:tabs>
        <w:autoSpaceDE w:val="0"/>
        <w:autoSpaceDN w:val="0"/>
        <w:bidi w:val="0"/>
        <w:adjustRightInd w:val="0"/>
        <w:contextualSpacing/>
        <w:jc w:val="both"/>
        <w:rPr>
          <w:rFonts w:asciiTheme="majorBidi" w:hAnsiTheme="majorBidi" w:cstheme="majorBidi"/>
          <w:color w:val="000000" w:themeColor="text1"/>
          <w:sz w:val="20"/>
          <w:szCs w:val="20"/>
        </w:rPr>
      </w:pPr>
      <w:r w:rsidRPr="00F01FC3">
        <w:rPr>
          <w:rStyle w:val="FootnoteReference"/>
          <w:rFonts w:asciiTheme="majorBidi" w:hAnsiTheme="majorBidi" w:cstheme="majorBidi"/>
          <w:color w:val="000000" w:themeColor="text1"/>
          <w:sz w:val="20"/>
          <w:szCs w:val="20"/>
        </w:rPr>
        <w:footnoteRef/>
      </w:r>
      <w:r w:rsidRPr="00F01FC3">
        <w:rPr>
          <w:rStyle w:val="apple-converted-space"/>
          <w:rFonts w:asciiTheme="majorBidi" w:hAnsiTheme="majorBidi" w:cstheme="majorBidi"/>
          <w:color w:val="000000" w:themeColor="text1"/>
          <w:sz w:val="20"/>
          <w:szCs w:val="20"/>
          <w:shd w:val="clear" w:color="auto" w:fill="FFFFFF"/>
        </w:rPr>
        <w:t> </w:t>
      </w:r>
      <w:r w:rsidRPr="00F01FC3">
        <w:rPr>
          <w:rFonts w:asciiTheme="majorBidi" w:hAnsiTheme="majorBidi" w:cstheme="majorBidi"/>
          <w:color w:val="000000" w:themeColor="text1"/>
          <w:sz w:val="20"/>
          <w:szCs w:val="20"/>
          <w:shd w:val="clear" w:color="auto" w:fill="FFFFFF"/>
        </w:rPr>
        <w:t xml:space="preserve">Spokesperson for the UN High Commissioner for Human Rights, </w:t>
      </w:r>
      <w:r w:rsidRPr="00F01FC3">
        <w:rPr>
          <w:rFonts w:asciiTheme="majorBidi" w:hAnsiTheme="majorBidi" w:cstheme="majorBidi"/>
          <w:i/>
          <w:iCs/>
          <w:color w:val="000000" w:themeColor="text1"/>
          <w:sz w:val="20"/>
          <w:szCs w:val="20"/>
          <w:shd w:val="clear" w:color="auto" w:fill="FFFFFF"/>
        </w:rPr>
        <w:t>Press Briefing Notes on Palestine</w:t>
      </w:r>
      <w:r w:rsidRPr="00F01FC3">
        <w:rPr>
          <w:rFonts w:asciiTheme="majorBidi" w:hAnsiTheme="majorBidi" w:cstheme="majorBidi"/>
          <w:color w:val="000000" w:themeColor="text1"/>
          <w:sz w:val="20"/>
          <w:szCs w:val="20"/>
          <w:shd w:val="clear" w:color="auto" w:fill="FFFFFF"/>
        </w:rPr>
        <w:t xml:space="preserve"> (Geneva, 2 May 2014).</w:t>
      </w:r>
    </w:p>
  </w:footnote>
  <w:footnote w:id="3">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tl/>
        </w:rPr>
        <w:t xml:space="preserve"> </w:t>
      </w:r>
      <w:r w:rsidRPr="00F01FC3">
        <w:rPr>
          <w:rFonts w:asciiTheme="majorBidi" w:hAnsiTheme="majorBidi" w:cstheme="majorBidi"/>
          <w:color w:val="000000" w:themeColor="text1"/>
        </w:rPr>
        <w:t>Palestine Gazette, No. 118, 28 February 2016, p. 7.</w:t>
      </w:r>
    </w:p>
  </w:footnote>
  <w:footnote w:id="4">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tl/>
        </w:rPr>
        <w:t xml:space="preserve"> </w:t>
      </w:r>
      <w:r w:rsidRPr="00F01FC3">
        <w:rPr>
          <w:rFonts w:asciiTheme="majorBidi" w:hAnsiTheme="majorBidi" w:cstheme="majorBidi"/>
          <w:color w:val="000000" w:themeColor="text1"/>
        </w:rPr>
        <w:t>The Law came into force, in accordance with its Article 68, on 29 March 2016.</w:t>
      </w:r>
    </w:p>
  </w:footnote>
  <w:footnote w:id="5">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tl/>
        </w:rPr>
        <w:t xml:space="preserve"> </w:t>
      </w:r>
      <w:r w:rsidRPr="00F01FC3">
        <w:rPr>
          <w:rFonts w:asciiTheme="majorBidi" w:hAnsiTheme="majorBidi" w:cstheme="majorBidi"/>
          <w:color w:val="000000" w:themeColor="text1"/>
        </w:rPr>
        <w:t xml:space="preserve">This study relates to juvenile justice in the Palestinian Authority-controlled territory. It does not cover the violations of children's rights by Israel. Nor does it discuss Palestinian children in East Jerusalem. See Defense for Children International, </w:t>
      </w:r>
      <w:r w:rsidRPr="00F01FC3">
        <w:rPr>
          <w:rFonts w:asciiTheme="majorBidi" w:hAnsiTheme="majorBidi" w:cstheme="majorBidi"/>
          <w:i/>
          <w:iCs/>
          <w:color w:val="000000" w:themeColor="text1"/>
        </w:rPr>
        <w:t>Palestinian Child Prisoners</w:t>
      </w:r>
      <w:r w:rsidRPr="00F01FC3">
        <w:rPr>
          <w:rFonts w:asciiTheme="majorBidi" w:hAnsiTheme="majorBidi" w:cstheme="majorBidi"/>
          <w:color w:val="000000" w:themeColor="text1"/>
        </w:rPr>
        <w:t xml:space="preserve"> (Ramallah, 2008); and </w:t>
      </w:r>
      <w:proofErr w:type="spellStart"/>
      <w:r w:rsidRPr="00F01FC3">
        <w:rPr>
          <w:rFonts w:asciiTheme="majorBidi" w:hAnsiTheme="majorBidi" w:cstheme="majorBidi"/>
          <w:color w:val="000000" w:themeColor="text1"/>
        </w:rPr>
        <w:t>Rinad</w:t>
      </w:r>
      <w:proofErr w:type="spellEnd"/>
      <w:r w:rsidRPr="00F01FC3">
        <w:rPr>
          <w:rFonts w:asciiTheme="majorBidi" w:hAnsiTheme="majorBidi" w:cstheme="majorBidi"/>
          <w:color w:val="000000" w:themeColor="text1"/>
        </w:rPr>
        <w:t xml:space="preserve"> </w:t>
      </w:r>
      <w:proofErr w:type="spellStart"/>
      <w:r w:rsidRPr="00F01FC3">
        <w:rPr>
          <w:rFonts w:asciiTheme="majorBidi" w:hAnsiTheme="majorBidi" w:cstheme="majorBidi"/>
          <w:color w:val="000000" w:themeColor="text1"/>
        </w:rPr>
        <w:t>Abdallah</w:t>
      </w:r>
      <w:proofErr w:type="spellEnd"/>
      <w:r w:rsidRPr="00F01FC3">
        <w:rPr>
          <w:rFonts w:asciiTheme="majorBidi" w:hAnsiTheme="majorBidi" w:cstheme="majorBidi"/>
          <w:color w:val="000000" w:themeColor="text1"/>
        </w:rPr>
        <w:t xml:space="preserve">, </w:t>
      </w:r>
      <w:r w:rsidRPr="00F01FC3">
        <w:rPr>
          <w:rFonts w:asciiTheme="majorBidi" w:hAnsiTheme="majorBidi" w:cstheme="majorBidi"/>
          <w:i/>
          <w:iCs/>
          <w:color w:val="000000" w:themeColor="text1"/>
        </w:rPr>
        <w:t>Rights of Jerusalem Children</w:t>
      </w:r>
      <w:r w:rsidRPr="00F01FC3">
        <w:rPr>
          <w:rFonts w:asciiTheme="majorBidi" w:hAnsiTheme="majorBidi" w:cstheme="majorBidi"/>
          <w:color w:val="000000" w:themeColor="text1"/>
        </w:rPr>
        <w:t xml:space="preserve"> (Ramallah 2010).</w:t>
      </w:r>
    </w:p>
  </w:footnote>
  <w:footnote w:id="6">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Pr>
        <w:t xml:space="preserve"> These numbers are mainly taken from Ministry of Social Affairs in 2010.</w:t>
      </w:r>
    </w:p>
  </w:footnote>
  <w:footnote w:id="7">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tl/>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Pr>
        <w:t xml:space="preserve"> Defense for Children International, </w:t>
      </w:r>
      <w:r w:rsidRPr="00F01FC3">
        <w:rPr>
          <w:rFonts w:asciiTheme="majorBidi" w:hAnsiTheme="majorBidi" w:cstheme="majorBidi"/>
          <w:i/>
          <w:iCs/>
          <w:color w:val="000000" w:themeColor="text1"/>
        </w:rPr>
        <w:t>Juvenile Police in Palestine between Practice and International Standards</w:t>
      </w:r>
      <w:r w:rsidRPr="00F01FC3">
        <w:rPr>
          <w:rFonts w:asciiTheme="majorBidi" w:hAnsiTheme="majorBidi" w:cstheme="majorBidi"/>
          <w:color w:val="000000" w:themeColor="text1"/>
        </w:rPr>
        <w:t xml:space="preserve"> (Ramallah 2015), p. 61.</w:t>
      </w:r>
    </w:p>
  </w:footnote>
  <w:footnote w:id="8">
    <w:p w:rsidR="006B60FB" w:rsidRPr="00F01FC3" w:rsidRDefault="006B60FB" w:rsidP="006B60FB">
      <w:pPr>
        <w:pStyle w:val="FootnoteText"/>
        <w:tabs>
          <w:tab w:val="right" w:pos="993"/>
        </w:tabs>
        <w:bidi w:val="0"/>
        <w:contextualSpacing/>
        <w:jc w:val="both"/>
        <w:rPr>
          <w:rFonts w:asciiTheme="majorBidi" w:hAnsiTheme="majorBidi" w:cstheme="majorBidi"/>
          <w:color w:val="000000" w:themeColor="text1"/>
        </w:rPr>
      </w:pPr>
      <w:r w:rsidRPr="00F01FC3">
        <w:rPr>
          <w:rStyle w:val="FootnoteReference"/>
          <w:rFonts w:asciiTheme="majorBidi" w:hAnsiTheme="majorBidi" w:cstheme="majorBidi"/>
          <w:color w:val="000000" w:themeColor="text1"/>
        </w:rPr>
        <w:footnoteRef/>
      </w:r>
      <w:r w:rsidRPr="00F01FC3">
        <w:rPr>
          <w:rFonts w:asciiTheme="majorBidi" w:hAnsiTheme="majorBidi" w:cstheme="majorBidi"/>
          <w:color w:val="000000" w:themeColor="text1"/>
          <w:rtl/>
        </w:rPr>
        <w:t xml:space="preserve"> </w:t>
      </w:r>
      <w:proofErr w:type="spellStart"/>
      <w:r w:rsidRPr="00F01FC3">
        <w:rPr>
          <w:rFonts w:asciiTheme="majorBidi" w:hAnsiTheme="majorBidi" w:cstheme="majorBidi"/>
          <w:color w:val="000000" w:themeColor="text1"/>
        </w:rPr>
        <w:t>Taher</w:t>
      </w:r>
      <w:proofErr w:type="spellEnd"/>
      <w:r w:rsidRPr="00F01FC3">
        <w:rPr>
          <w:rFonts w:asciiTheme="majorBidi" w:hAnsiTheme="majorBidi" w:cstheme="majorBidi"/>
          <w:color w:val="000000" w:themeColor="text1"/>
        </w:rPr>
        <w:t xml:space="preserve"> </w:t>
      </w:r>
      <w:proofErr w:type="spellStart"/>
      <w:r w:rsidRPr="00F01FC3">
        <w:rPr>
          <w:rFonts w:asciiTheme="majorBidi" w:hAnsiTheme="majorBidi" w:cstheme="majorBidi"/>
          <w:color w:val="000000" w:themeColor="text1"/>
        </w:rPr>
        <w:t>Buomidra</w:t>
      </w:r>
      <w:proofErr w:type="spellEnd"/>
      <w:r w:rsidRPr="00F01FC3">
        <w:rPr>
          <w:rFonts w:asciiTheme="majorBidi" w:hAnsiTheme="majorBidi" w:cstheme="majorBidi"/>
          <w:color w:val="000000" w:themeColor="text1"/>
        </w:rPr>
        <w:t xml:space="preserve"> &amp; </w:t>
      </w:r>
      <w:proofErr w:type="spellStart"/>
      <w:r w:rsidRPr="00F01FC3">
        <w:rPr>
          <w:rFonts w:asciiTheme="majorBidi" w:hAnsiTheme="majorBidi" w:cstheme="majorBidi"/>
          <w:color w:val="000000" w:themeColor="text1"/>
        </w:rPr>
        <w:t>Netham</w:t>
      </w:r>
      <w:proofErr w:type="spellEnd"/>
      <w:r w:rsidRPr="00F01FC3">
        <w:rPr>
          <w:rFonts w:asciiTheme="majorBidi" w:hAnsiTheme="majorBidi" w:cstheme="majorBidi"/>
          <w:color w:val="000000" w:themeColor="text1"/>
        </w:rPr>
        <w:t xml:space="preserve"> </w:t>
      </w:r>
      <w:proofErr w:type="spellStart"/>
      <w:r w:rsidRPr="00F01FC3">
        <w:rPr>
          <w:rFonts w:asciiTheme="majorBidi" w:hAnsiTheme="majorBidi" w:cstheme="majorBidi"/>
          <w:color w:val="000000" w:themeColor="text1"/>
        </w:rPr>
        <w:t>Assaf</w:t>
      </w:r>
      <w:proofErr w:type="spellEnd"/>
      <w:r w:rsidRPr="00F01FC3">
        <w:rPr>
          <w:rFonts w:asciiTheme="majorBidi" w:hAnsiTheme="majorBidi" w:cstheme="majorBidi"/>
          <w:color w:val="000000" w:themeColor="text1"/>
        </w:rPr>
        <w:t xml:space="preserve">, eds., </w:t>
      </w:r>
      <w:r w:rsidRPr="00F01FC3">
        <w:rPr>
          <w:rFonts w:asciiTheme="majorBidi" w:hAnsiTheme="majorBidi" w:cstheme="majorBidi"/>
          <w:i/>
          <w:iCs/>
          <w:color w:val="000000" w:themeColor="text1"/>
        </w:rPr>
        <w:t>Arab Experience on Juvenile Justice</w:t>
      </w:r>
      <w:r w:rsidRPr="00F01FC3">
        <w:rPr>
          <w:rFonts w:asciiTheme="majorBidi" w:hAnsiTheme="majorBidi" w:cstheme="majorBidi"/>
          <w:color w:val="000000" w:themeColor="text1"/>
        </w:rPr>
        <w:t xml:space="preserve"> (Amman 2007); </w:t>
      </w:r>
      <w:proofErr w:type="spellStart"/>
      <w:r w:rsidRPr="00F01FC3">
        <w:rPr>
          <w:rFonts w:asciiTheme="majorBidi" w:hAnsiTheme="majorBidi" w:cstheme="majorBidi"/>
          <w:color w:val="000000" w:themeColor="text1"/>
        </w:rPr>
        <w:t>Zeinab</w:t>
      </w:r>
      <w:proofErr w:type="spellEnd"/>
      <w:r w:rsidRPr="00F01FC3">
        <w:rPr>
          <w:rFonts w:asciiTheme="majorBidi" w:hAnsiTheme="majorBidi" w:cstheme="majorBidi"/>
          <w:color w:val="000000" w:themeColor="text1"/>
        </w:rPr>
        <w:t xml:space="preserve"> </w:t>
      </w:r>
      <w:proofErr w:type="spellStart"/>
      <w:r w:rsidRPr="00F01FC3">
        <w:rPr>
          <w:rFonts w:asciiTheme="majorBidi" w:hAnsiTheme="majorBidi" w:cstheme="majorBidi"/>
          <w:color w:val="000000" w:themeColor="text1"/>
        </w:rPr>
        <w:t>Aouin</w:t>
      </w:r>
      <w:proofErr w:type="spellEnd"/>
      <w:r w:rsidRPr="00F01FC3">
        <w:rPr>
          <w:rFonts w:asciiTheme="majorBidi" w:hAnsiTheme="majorBidi" w:cstheme="majorBidi"/>
          <w:color w:val="000000" w:themeColor="text1"/>
        </w:rPr>
        <w:t xml:space="preserve">, </w:t>
      </w:r>
      <w:r w:rsidRPr="00F01FC3">
        <w:rPr>
          <w:rFonts w:asciiTheme="majorBidi" w:hAnsiTheme="majorBidi" w:cstheme="majorBidi"/>
          <w:i/>
          <w:iCs/>
          <w:color w:val="000000" w:themeColor="text1"/>
        </w:rPr>
        <w:t>Juvenile Justice: Comparative Study</w:t>
      </w:r>
      <w:r w:rsidRPr="00F01FC3">
        <w:rPr>
          <w:rFonts w:asciiTheme="majorBidi" w:hAnsiTheme="majorBidi" w:cstheme="majorBidi"/>
          <w:color w:val="000000" w:themeColor="text1"/>
        </w:rPr>
        <w:t xml:space="preserve"> (Amman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761"/>
    <w:multiLevelType w:val="hybridMultilevel"/>
    <w:tmpl w:val="0A048328"/>
    <w:lvl w:ilvl="0" w:tplc="C0D097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90A28"/>
    <w:multiLevelType w:val="hybridMultilevel"/>
    <w:tmpl w:val="44F01036"/>
    <w:lvl w:ilvl="0" w:tplc="BC80115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7111"/>
    <w:multiLevelType w:val="hybridMultilevel"/>
    <w:tmpl w:val="A74ECAB8"/>
    <w:lvl w:ilvl="0" w:tplc="15B417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41697"/>
    <w:multiLevelType w:val="hybridMultilevel"/>
    <w:tmpl w:val="5BEAB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212122"/>
    <w:multiLevelType w:val="hybridMultilevel"/>
    <w:tmpl w:val="0B9C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A468D"/>
    <w:multiLevelType w:val="hybridMultilevel"/>
    <w:tmpl w:val="F6D28F72"/>
    <w:lvl w:ilvl="0" w:tplc="6CE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B2B01"/>
    <w:multiLevelType w:val="hybridMultilevel"/>
    <w:tmpl w:val="9020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73AD8"/>
    <w:multiLevelType w:val="hybridMultilevel"/>
    <w:tmpl w:val="D0C2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0491D76"/>
    <w:multiLevelType w:val="hybridMultilevel"/>
    <w:tmpl w:val="56D48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4B4514"/>
    <w:multiLevelType w:val="hybridMultilevel"/>
    <w:tmpl w:val="4DC29ECE"/>
    <w:lvl w:ilvl="0" w:tplc="22BCD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320B0"/>
    <w:multiLevelType w:val="hybridMultilevel"/>
    <w:tmpl w:val="C62E5856"/>
    <w:lvl w:ilvl="0" w:tplc="B8948E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C2DB9"/>
    <w:multiLevelType w:val="hybridMultilevel"/>
    <w:tmpl w:val="E778825E"/>
    <w:lvl w:ilvl="0" w:tplc="E02C8D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F16A6"/>
    <w:multiLevelType w:val="hybridMultilevel"/>
    <w:tmpl w:val="E15C457E"/>
    <w:lvl w:ilvl="0" w:tplc="CBA2A4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26816"/>
    <w:multiLevelType w:val="hybridMultilevel"/>
    <w:tmpl w:val="731C9586"/>
    <w:lvl w:ilvl="0" w:tplc="53961B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F461373"/>
    <w:multiLevelType w:val="hybridMultilevel"/>
    <w:tmpl w:val="744ADE96"/>
    <w:lvl w:ilvl="0" w:tplc="6D5CE8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5773B"/>
    <w:multiLevelType w:val="hybridMultilevel"/>
    <w:tmpl w:val="A678C1DE"/>
    <w:lvl w:ilvl="0" w:tplc="197AC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4"/>
  </w:num>
  <w:num w:numId="8">
    <w:abstractNumId w:val="1"/>
  </w:num>
  <w:num w:numId="9">
    <w:abstractNumId w:val="15"/>
  </w:num>
  <w:num w:numId="10">
    <w:abstractNumId w:val="5"/>
  </w:num>
  <w:num w:numId="11">
    <w:abstractNumId w:val="14"/>
  </w:num>
  <w:num w:numId="12">
    <w:abstractNumId w:val="0"/>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62"/>
    <w:rsid w:val="000001B8"/>
    <w:rsid w:val="00043503"/>
    <w:rsid w:val="0007521A"/>
    <w:rsid w:val="00081D03"/>
    <w:rsid w:val="0009543E"/>
    <w:rsid w:val="000A0614"/>
    <w:rsid w:val="000B04E3"/>
    <w:rsid w:val="000E6581"/>
    <w:rsid w:val="000F6200"/>
    <w:rsid w:val="00141A2C"/>
    <w:rsid w:val="001644E8"/>
    <w:rsid w:val="0017006A"/>
    <w:rsid w:val="001C2DCD"/>
    <w:rsid w:val="001D6EBC"/>
    <w:rsid w:val="00211C65"/>
    <w:rsid w:val="002240EE"/>
    <w:rsid w:val="00224CC3"/>
    <w:rsid w:val="00262B73"/>
    <w:rsid w:val="00313B36"/>
    <w:rsid w:val="00324D9E"/>
    <w:rsid w:val="003620C4"/>
    <w:rsid w:val="0039241E"/>
    <w:rsid w:val="003C20CD"/>
    <w:rsid w:val="003E4601"/>
    <w:rsid w:val="00405D33"/>
    <w:rsid w:val="00455C1A"/>
    <w:rsid w:val="004C1733"/>
    <w:rsid w:val="00517138"/>
    <w:rsid w:val="0052754E"/>
    <w:rsid w:val="005D60D5"/>
    <w:rsid w:val="00605CAD"/>
    <w:rsid w:val="00654441"/>
    <w:rsid w:val="006738FA"/>
    <w:rsid w:val="00676B43"/>
    <w:rsid w:val="00680941"/>
    <w:rsid w:val="006B15C4"/>
    <w:rsid w:val="006B2E62"/>
    <w:rsid w:val="006B60FB"/>
    <w:rsid w:val="006D460E"/>
    <w:rsid w:val="00746AE5"/>
    <w:rsid w:val="007518DE"/>
    <w:rsid w:val="00755519"/>
    <w:rsid w:val="00796F78"/>
    <w:rsid w:val="007C347C"/>
    <w:rsid w:val="007E4507"/>
    <w:rsid w:val="00823E6C"/>
    <w:rsid w:val="00841FBF"/>
    <w:rsid w:val="00855624"/>
    <w:rsid w:val="00855873"/>
    <w:rsid w:val="00866A10"/>
    <w:rsid w:val="00884A50"/>
    <w:rsid w:val="00894E1A"/>
    <w:rsid w:val="008B7D24"/>
    <w:rsid w:val="009543E5"/>
    <w:rsid w:val="009A4A3B"/>
    <w:rsid w:val="009A4D16"/>
    <w:rsid w:val="00A61B13"/>
    <w:rsid w:val="00A66B12"/>
    <w:rsid w:val="00B02892"/>
    <w:rsid w:val="00B43AD6"/>
    <w:rsid w:val="00C00432"/>
    <w:rsid w:val="00D072C5"/>
    <w:rsid w:val="00D20404"/>
    <w:rsid w:val="00D9700F"/>
    <w:rsid w:val="00DF526A"/>
    <w:rsid w:val="00DF5431"/>
    <w:rsid w:val="00E37256"/>
    <w:rsid w:val="00E70C8B"/>
    <w:rsid w:val="00EA0CA0"/>
    <w:rsid w:val="00EC6611"/>
    <w:rsid w:val="00F264AB"/>
    <w:rsid w:val="00F97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6C"/>
    <w:pPr>
      <w:bidi/>
    </w:pPr>
  </w:style>
  <w:style w:type="paragraph" w:styleId="Heading1">
    <w:name w:val="heading 1"/>
    <w:basedOn w:val="Normal"/>
    <w:next w:val="Normal"/>
    <w:link w:val="Heading1Char"/>
    <w:uiPriority w:val="9"/>
    <w:qFormat/>
    <w:rsid w:val="00823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23E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6200"/>
    <w:rPr>
      <w:color w:val="0000FF"/>
      <w:u w:val="single"/>
    </w:rPr>
  </w:style>
  <w:style w:type="character" w:customStyle="1" w:styleId="Heading1Char">
    <w:name w:val="Heading 1 Char"/>
    <w:basedOn w:val="DefaultParagraphFont"/>
    <w:link w:val="Heading1"/>
    <w:uiPriority w:val="9"/>
    <w:rsid w:val="00823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23E6C"/>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823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3E6C"/>
    <w:rPr>
      <w:rFonts w:ascii="Consolas" w:hAnsi="Consolas" w:cs="Consolas"/>
      <w:sz w:val="20"/>
      <w:szCs w:val="20"/>
    </w:rPr>
  </w:style>
  <w:style w:type="character" w:customStyle="1" w:styleId="FootnoteTextChar">
    <w:name w:val="Footnote Text Char"/>
    <w:aliases w:val="5_G Char"/>
    <w:basedOn w:val="DefaultParagraphFont"/>
    <w:link w:val="FootnoteText"/>
    <w:uiPriority w:val="99"/>
    <w:semiHidden/>
    <w:locked/>
    <w:rsid w:val="00823E6C"/>
    <w:rPr>
      <w:sz w:val="20"/>
      <w:szCs w:val="20"/>
    </w:rPr>
  </w:style>
  <w:style w:type="paragraph" w:styleId="FootnoteText">
    <w:name w:val="footnote text"/>
    <w:aliases w:val="5_G"/>
    <w:basedOn w:val="Normal"/>
    <w:link w:val="FootnoteTextChar"/>
    <w:uiPriority w:val="99"/>
    <w:semiHidden/>
    <w:unhideWhenUsed/>
    <w:qFormat/>
    <w:rsid w:val="00823E6C"/>
    <w:pPr>
      <w:spacing w:after="0" w:line="240" w:lineRule="auto"/>
    </w:pPr>
    <w:rPr>
      <w:sz w:val="20"/>
      <w:szCs w:val="20"/>
    </w:rPr>
  </w:style>
  <w:style w:type="character" w:customStyle="1" w:styleId="FootnoteTextChar1">
    <w:name w:val="Footnote Text Char1"/>
    <w:basedOn w:val="DefaultParagraphFont"/>
    <w:uiPriority w:val="99"/>
    <w:semiHidden/>
    <w:rsid w:val="00823E6C"/>
    <w:rPr>
      <w:sz w:val="20"/>
      <w:szCs w:val="20"/>
    </w:rPr>
  </w:style>
  <w:style w:type="paragraph" w:styleId="ListParagraph">
    <w:name w:val="List Paragraph"/>
    <w:basedOn w:val="Normal"/>
    <w:uiPriority w:val="99"/>
    <w:qFormat/>
    <w:rsid w:val="00823E6C"/>
    <w:pPr>
      <w:ind w:left="720"/>
      <w:contextualSpacing/>
    </w:pPr>
  </w:style>
  <w:style w:type="character" w:styleId="FootnoteReference">
    <w:name w:val="footnote reference"/>
    <w:aliases w:val="4_G"/>
    <w:basedOn w:val="DefaultParagraphFont"/>
    <w:uiPriority w:val="99"/>
    <w:unhideWhenUsed/>
    <w:qFormat/>
    <w:rsid w:val="00823E6C"/>
    <w:rPr>
      <w:vertAlign w:val="superscript"/>
    </w:rPr>
  </w:style>
  <w:style w:type="character" w:customStyle="1" w:styleId="lucenesearchresulturlb">
    <w:name w:val="lucene_search_result_url_b"/>
    <w:basedOn w:val="DefaultParagraphFont"/>
    <w:rsid w:val="00823E6C"/>
  </w:style>
  <w:style w:type="character" w:customStyle="1" w:styleId="apple-converted-space">
    <w:name w:val="apple-converted-space"/>
    <w:basedOn w:val="DefaultParagraphFont"/>
    <w:rsid w:val="00823E6C"/>
  </w:style>
  <w:style w:type="character" w:styleId="Emphasis">
    <w:name w:val="Emphasis"/>
    <w:basedOn w:val="DefaultParagraphFont"/>
    <w:uiPriority w:val="20"/>
    <w:qFormat/>
    <w:rsid w:val="00823E6C"/>
    <w:rPr>
      <w:i/>
      <w:iCs/>
    </w:rPr>
  </w:style>
  <w:style w:type="character" w:styleId="Strong">
    <w:name w:val="Strong"/>
    <w:basedOn w:val="DefaultParagraphFont"/>
    <w:uiPriority w:val="22"/>
    <w:qFormat/>
    <w:rsid w:val="00823E6C"/>
    <w:rPr>
      <w:b/>
      <w:bCs/>
    </w:rPr>
  </w:style>
  <w:style w:type="paragraph" w:styleId="CommentText">
    <w:name w:val="annotation text"/>
    <w:basedOn w:val="Normal"/>
    <w:link w:val="CommentTextChar"/>
    <w:uiPriority w:val="99"/>
    <w:unhideWhenUsed/>
    <w:rsid w:val="00324D9E"/>
    <w:pPr>
      <w:spacing w:line="240" w:lineRule="auto"/>
    </w:pPr>
    <w:rPr>
      <w:sz w:val="20"/>
      <w:szCs w:val="20"/>
    </w:rPr>
  </w:style>
  <w:style w:type="character" w:customStyle="1" w:styleId="CommentTextChar">
    <w:name w:val="Comment Text Char"/>
    <w:basedOn w:val="DefaultParagraphFont"/>
    <w:link w:val="CommentText"/>
    <w:uiPriority w:val="99"/>
    <w:rsid w:val="00324D9E"/>
    <w:rPr>
      <w:sz w:val="20"/>
      <w:szCs w:val="20"/>
    </w:rPr>
  </w:style>
  <w:style w:type="paragraph" w:customStyle="1" w:styleId="selectionshareable">
    <w:name w:val="selectionshareable"/>
    <w:basedOn w:val="Normal"/>
    <w:rsid w:val="0051713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6C"/>
    <w:pPr>
      <w:bidi/>
    </w:pPr>
  </w:style>
  <w:style w:type="paragraph" w:styleId="Heading1">
    <w:name w:val="heading 1"/>
    <w:basedOn w:val="Normal"/>
    <w:next w:val="Normal"/>
    <w:link w:val="Heading1Char"/>
    <w:uiPriority w:val="9"/>
    <w:qFormat/>
    <w:rsid w:val="00823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23E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6200"/>
    <w:rPr>
      <w:color w:val="0000FF"/>
      <w:u w:val="single"/>
    </w:rPr>
  </w:style>
  <w:style w:type="character" w:customStyle="1" w:styleId="Heading1Char">
    <w:name w:val="Heading 1 Char"/>
    <w:basedOn w:val="DefaultParagraphFont"/>
    <w:link w:val="Heading1"/>
    <w:uiPriority w:val="9"/>
    <w:rsid w:val="00823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23E6C"/>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823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3E6C"/>
    <w:rPr>
      <w:rFonts w:ascii="Consolas" w:hAnsi="Consolas" w:cs="Consolas"/>
      <w:sz w:val="20"/>
      <w:szCs w:val="20"/>
    </w:rPr>
  </w:style>
  <w:style w:type="character" w:customStyle="1" w:styleId="FootnoteTextChar">
    <w:name w:val="Footnote Text Char"/>
    <w:aliases w:val="5_G Char"/>
    <w:basedOn w:val="DefaultParagraphFont"/>
    <w:link w:val="FootnoteText"/>
    <w:uiPriority w:val="99"/>
    <w:semiHidden/>
    <w:locked/>
    <w:rsid w:val="00823E6C"/>
    <w:rPr>
      <w:sz w:val="20"/>
      <w:szCs w:val="20"/>
    </w:rPr>
  </w:style>
  <w:style w:type="paragraph" w:styleId="FootnoteText">
    <w:name w:val="footnote text"/>
    <w:aliases w:val="5_G"/>
    <w:basedOn w:val="Normal"/>
    <w:link w:val="FootnoteTextChar"/>
    <w:uiPriority w:val="99"/>
    <w:semiHidden/>
    <w:unhideWhenUsed/>
    <w:qFormat/>
    <w:rsid w:val="00823E6C"/>
    <w:pPr>
      <w:spacing w:after="0" w:line="240" w:lineRule="auto"/>
    </w:pPr>
    <w:rPr>
      <w:sz w:val="20"/>
      <w:szCs w:val="20"/>
    </w:rPr>
  </w:style>
  <w:style w:type="character" w:customStyle="1" w:styleId="FootnoteTextChar1">
    <w:name w:val="Footnote Text Char1"/>
    <w:basedOn w:val="DefaultParagraphFont"/>
    <w:uiPriority w:val="99"/>
    <w:semiHidden/>
    <w:rsid w:val="00823E6C"/>
    <w:rPr>
      <w:sz w:val="20"/>
      <w:szCs w:val="20"/>
    </w:rPr>
  </w:style>
  <w:style w:type="paragraph" w:styleId="ListParagraph">
    <w:name w:val="List Paragraph"/>
    <w:basedOn w:val="Normal"/>
    <w:uiPriority w:val="99"/>
    <w:qFormat/>
    <w:rsid w:val="00823E6C"/>
    <w:pPr>
      <w:ind w:left="720"/>
      <w:contextualSpacing/>
    </w:pPr>
  </w:style>
  <w:style w:type="character" w:styleId="FootnoteReference">
    <w:name w:val="footnote reference"/>
    <w:aliases w:val="4_G"/>
    <w:basedOn w:val="DefaultParagraphFont"/>
    <w:uiPriority w:val="99"/>
    <w:unhideWhenUsed/>
    <w:qFormat/>
    <w:rsid w:val="00823E6C"/>
    <w:rPr>
      <w:vertAlign w:val="superscript"/>
    </w:rPr>
  </w:style>
  <w:style w:type="character" w:customStyle="1" w:styleId="lucenesearchresulturlb">
    <w:name w:val="lucene_search_result_url_b"/>
    <w:basedOn w:val="DefaultParagraphFont"/>
    <w:rsid w:val="00823E6C"/>
  </w:style>
  <w:style w:type="character" w:customStyle="1" w:styleId="apple-converted-space">
    <w:name w:val="apple-converted-space"/>
    <w:basedOn w:val="DefaultParagraphFont"/>
    <w:rsid w:val="00823E6C"/>
  </w:style>
  <w:style w:type="character" w:styleId="Emphasis">
    <w:name w:val="Emphasis"/>
    <w:basedOn w:val="DefaultParagraphFont"/>
    <w:uiPriority w:val="20"/>
    <w:qFormat/>
    <w:rsid w:val="00823E6C"/>
    <w:rPr>
      <w:i/>
      <w:iCs/>
    </w:rPr>
  </w:style>
  <w:style w:type="character" w:styleId="Strong">
    <w:name w:val="Strong"/>
    <w:basedOn w:val="DefaultParagraphFont"/>
    <w:uiPriority w:val="22"/>
    <w:qFormat/>
    <w:rsid w:val="00823E6C"/>
    <w:rPr>
      <w:b/>
      <w:bCs/>
    </w:rPr>
  </w:style>
  <w:style w:type="paragraph" w:styleId="CommentText">
    <w:name w:val="annotation text"/>
    <w:basedOn w:val="Normal"/>
    <w:link w:val="CommentTextChar"/>
    <w:uiPriority w:val="99"/>
    <w:unhideWhenUsed/>
    <w:rsid w:val="00324D9E"/>
    <w:pPr>
      <w:spacing w:line="240" w:lineRule="auto"/>
    </w:pPr>
    <w:rPr>
      <w:sz w:val="20"/>
      <w:szCs w:val="20"/>
    </w:rPr>
  </w:style>
  <w:style w:type="character" w:customStyle="1" w:styleId="CommentTextChar">
    <w:name w:val="Comment Text Char"/>
    <w:basedOn w:val="DefaultParagraphFont"/>
    <w:link w:val="CommentText"/>
    <w:uiPriority w:val="99"/>
    <w:rsid w:val="00324D9E"/>
    <w:rPr>
      <w:sz w:val="20"/>
      <w:szCs w:val="20"/>
    </w:rPr>
  </w:style>
  <w:style w:type="paragraph" w:customStyle="1" w:styleId="selectionshareable">
    <w:name w:val="selectionshareable"/>
    <w:basedOn w:val="Normal"/>
    <w:rsid w:val="0051713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232">
      <w:bodyDiv w:val="1"/>
      <w:marLeft w:val="0"/>
      <w:marRight w:val="0"/>
      <w:marTop w:val="0"/>
      <w:marBottom w:val="0"/>
      <w:divBdr>
        <w:top w:val="none" w:sz="0" w:space="0" w:color="auto"/>
        <w:left w:val="none" w:sz="0" w:space="0" w:color="auto"/>
        <w:bottom w:val="none" w:sz="0" w:space="0" w:color="auto"/>
        <w:right w:val="none" w:sz="0" w:space="0" w:color="auto"/>
      </w:divBdr>
    </w:div>
    <w:div w:id="582833716">
      <w:bodyDiv w:val="1"/>
      <w:marLeft w:val="0"/>
      <w:marRight w:val="0"/>
      <w:marTop w:val="0"/>
      <w:marBottom w:val="0"/>
      <w:divBdr>
        <w:top w:val="none" w:sz="0" w:space="0" w:color="auto"/>
        <w:left w:val="none" w:sz="0" w:space="0" w:color="auto"/>
        <w:bottom w:val="none" w:sz="0" w:space="0" w:color="auto"/>
        <w:right w:val="none" w:sz="0" w:space="0" w:color="auto"/>
      </w:divBdr>
    </w:div>
    <w:div w:id="846477660">
      <w:bodyDiv w:val="1"/>
      <w:marLeft w:val="0"/>
      <w:marRight w:val="0"/>
      <w:marTop w:val="0"/>
      <w:marBottom w:val="0"/>
      <w:divBdr>
        <w:top w:val="none" w:sz="0" w:space="0" w:color="auto"/>
        <w:left w:val="none" w:sz="0" w:space="0" w:color="auto"/>
        <w:bottom w:val="none" w:sz="0" w:space="0" w:color="auto"/>
        <w:right w:val="none" w:sz="0" w:space="0" w:color="auto"/>
      </w:divBdr>
    </w:div>
    <w:div w:id="875233765">
      <w:bodyDiv w:val="1"/>
      <w:marLeft w:val="0"/>
      <w:marRight w:val="0"/>
      <w:marTop w:val="0"/>
      <w:marBottom w:val="0"/>
      <w:divBdr>
        <w:top w:val="none" w:sz="0" w:space="0" w:color="auto"/>
        <w:left w:val="none" w:sz="0" w:space="0" w:color="auto"/>
        <w:bottom w:val="none" w:sz="0" w:space="0" w:color="auto"/>
        <w:right w:val="none" w:sz="0" w:space="0" w:color="auto"/>
      </w:divBdr>
    </w:div>
    <w:div w:id="1046489114">
      <w:bodyDiv w:val="1"/>
      <w:marLeft w:val="0"/>
      <w:marRight w:val="0"/>
      <w:marTop w:val="0"/>
      <w:marBottom w:val="0"/>
      <w:divBdr>
        <w:top w:val="none" w:sz="0" w:space="0" w:color="auto"/>
        <w:left w:val="none" w:sz="0" w:space="0" w:color="auto"/>
        <w:bottom w:val="none" w:sz="0" w:space="0" w:color="auto"/>
        <w:right w:val="none" w:sz="0" w:space="0" w:color="auto"/>
      </w:divBdr>
      <w:divsChild>
        <w:div w:id="726612338">
          <w:marLeft w:val="0"/>
          <w:marRight w:val="0"/>
          <w:marTop w:val="0"/>
          <w:marBottom w:val="0"/>
          <w:divBdr>
            <w:top w:val="none" w:sz="0" w:space="0" w:color="auto"/>
            <w:left w:val="none" w:sz="0" w:space="0" w:color="auto"/>
            <w:bottom w:val="none" w:sz="0" w:space="0" w:color="auto"/>
            <w:right w:val="none" w:sz="0" w:space="0" w:color="auto"/>
          </w:divBdr>
        </w:div>
        <w:div w:id="1856571177">
          <w:marLeft w:val="0"/>
          <w:marRight w:val="0"/>
          <w:marTop w:val="0"/>
          <w:marBottom w:val="0"/>
          <w:divBdr>
            <w:top w:val="none" w:sz="0" w:space="0" w:color="auto"/>
            <w:left w:val="none" w:sz="0" w:space="0" w:color="auto"/>
            <w:bottom w:val="none" w:sz="0" w:space="0" w:color="auto"/>
            <w:right w:val="none" w:sz="0" w:space="0" w:color="auto"/>
          </w:divBdr>
        </w:div>
        <w:div w:id="812062640">
          <w:marLeft w:val="0"/>
          <w:marRight w:val="0"/>
          <w:marTop w:val="0"/>
          <w:marBottom w:val="0"/>
          <w:divBdr>
            <w:top w:val="none" w:sz="0" w:space="0" w:color="auto"/>
            <w:left w:val="none" w:sz="0" w:space="0" w:color="auto"/>
            <w:bottom w:val="none" w:sz="0" w:space="0" w:color="auto"/>
            <w:right w:val="none" w:sz="0" w:space="0" w:color="auto"/>
          </w:divBdr>
        </w:div>
        <w:div w:id="1079981293">
          <w:marLeft w:val="0"/>
          <w:marRight w:val="0"/>
          <w:marTop w:val="0"/>
          <w:marBottom w:val="0"/>
          <w:divBdr>
            <w:top w:val="none" w:sz="0" w:space="0" w:color="auto"/>
            <w:left w:val="none" w:sz="0" w:space="0" w:color="auto"/>
            <w:bottom w:val="none" w:sz="0" w:space="0" w:color="auto"/>
            <w:right w:val="none" w:sz="0" w:space="0" w:color="auto"/>
          </w:divBdr>
        </w:div>
        <w:div w:id="2007124710">
          <w:marLeft w:val="0"/>
          <w:marRight w:val="0"/>
          <w:marTop w:val="0"/>
          <w:marBottom w:val="0"/>
          <w:divBdr>
            <w:top w:val="none" w:sz="0" w:space="0" w:color="auto"/>
            <w:left w:val="none" w:sz="0" w:space="0" w:color="auto"/>
            <w:bottom w:val="none" w:sz="0" w:space="0" w:color="auto"/>
            <w:right w:val="none" w:sz="0" w:space="0" w:color="auto"/>
          </w:divBdr>
        </w:div>
        <w:div w:id="2134906152">
          <w:marLeft w:val="0"/>
          <w:marRight w:val="0"/>
          <w:marTop w:val="0"/>
          <w:marBottom w:val="0"/>
          <w:divBdr>
            <w:top w:val="none" w:sz="0" w:space="0" w:color="auto"/>
            <w:left w:val="none" w:sz="0" w:space="0" w:color="auto"/>
            <w:bottom w:val="none" w:sz="0" w:space="0" w:color="auto"/>
            <w:right w:val="none" w:sz="0" w:space="0" w:color="auto"/>
          </w:divBdr>
        </w:div>
        <w:div w:id="598485195">
          <w:marLeft w:val="0"/>
          <w:marRight w:val="0"/>
          <w:marTop w:val="0"/>
          <w:marBottom w:val="0"/>
          <w:divBdr>
            <w:top w:val="none" w:sz="0" w:space="0" w:color="auto"/>
            <w:left w:val="none" w:sz="0" w:space="0" w:color="auto"/>
            <w:bottom w:val="none" w:sz="0" w:space="0" w:color="auto"/>
            <w:right w:val="none" w:sz="0" w:space="0" w:color="auto"/>
          </w:divBdr>
        </w:div>
        <w:div w:id="1973513612">
          <w:marLeft w:val="0"/>
          <w:marRight w:val="0"/>
          <w:marTop w:val="0"/>
          <w:marBottom w:val="0"/>
          <w:divBdr>
            <w:top w:val="none" w:sz="0" w:space="0" w:color="auto"/>
            <w:left w:val="none" w:sz="0" w:space="0" w:color="auto"/>
            <w:bottom w:val="none" w:sz="0" w:space="0" w:color="auto"/>
            <w:right w:val="none" w:sz="0" w:space="0" w:color="auto"/>
          </w:divBdr>
        </w:div>
        <w:div w:id="945189417">
          <w:marLeft w:val="0"/>
          <w:marRight w:val="0"/>
          <w:marTop w:val="0"/>
          <w:marBottom w:val="0"/>
          <w:divBdr>
            <w:top w:val="none" w:sz="0" w:space="0" w:color="auto"/>
            <w:left w:val="none" w:sz="0" w:space="0" w:color="auto"/>
            <w:bottom w:val="none" w:sz="0" w:space="0" w:color="auto"/>
            <w:right w:val="none" w:sz="0" w:space="0" w:color="auto"/>
          </w:divBdr>
        </w:div>
      </w:divsChild>
    </w:div>
    <w:div w:id="1129737182">
      <w:bodyDiv w:val="1"/>
      <w:marLeft w:val="0"/>
      <w:marRight w:val="0"/>
      <w:marTop w:val="0"/>
      <w:marBottom w:val="0"/>
      <w:divBdr>
        <w:top w:val="none" w:sz="0" w:space="0" w:color="auto"/>
        <w:left w:val="none" w:sz="0" w:space="0" w:color="auto"/>
        <w:bottom w:val="none" w:sz="0" w:space="0" w:color="auto"/>
        <w:right w:val="none" w:sz="0" w:space="0" w:color="auto"/>
      </w:divBdr>
    </w:div>
    <w:div w:id="1397166392">
      <w:bodyDiv w:val="1"/>
      <w:marLeft w:val="0"/>
      <w:marRight w:val="0"/>
      <w:marTop w:val="0"/>
      <w:marBottom w:val="0"/>
      <w:divBdr>
        <w:top w:val="none" w:sz="0" w:space="0" w:color="auto"/>
        <w:left w:val="none" w:sz="0" w:space="0" w:color="auto"/>
        <w:bottom w:val="none" w:sz="0" w:space="0" w:color="auto"/>
        <w:right w:val="none" w:sz="0" w:space="0" w:color="auto"/>
      </w:divBdr>
    </w:div>
    <w:div w:id="1550529206">
      <w:bodyDiv w:val="1"/>
      <w:marLeft w:val="0"/>
      <w:marRight w:val="0"/>
      <w:marTop w:val="0"/>
      <w:marBottom w:val="0"/>
      <w:divBdr>
        <w:top w:val="none" w:sz="0" w:space="0" w:color="auto"/>
        <w:left w:val="none" w:sz="0" w:space="0" w:color="auto"/>
        <w:bottom w:val="none" w:sz="0" w:space="0" w:color="auto"/>
        <w:right w:val="none" w:sz="0" w:space="0" w:color="auto"/>
      </w:divBdr>
    </w:div>
    <w:div w:id="1663317518">
      <w:bodyDiv w:val="1"/>
      <w:marLeft w:val="0"/>
      <w:marRight w:val="0"/>
      <w:marTop w:val="0"/>
      <w:marBottom w:val="0"/>
      <w:divBdr>
        <w:top w:val="none" w:sz="0" w:space="0" w:color="auto"/>
        <w:left w:val="none" w:sz="0" w:space="0" w:color="auto"/>
        <w:bottom w:val="none" w:sz="0" w:space="0" w:color="auto"/>
        <w:right w:val="none" w:sz="0" w:space="0" w:color="auto"/>
      </w:divBdr>
    </w:div>
    <w:div w:id="1793356989">
      <w:bodyDiv w:val="1"/>
      <w:marLeft w:val="0"/>
      <w:marRight w:val="0"/>
      <w:marTop w:val="0"/>
      <w:marBottom w:val="0"/>
      <w:divBdr>
        <w:top w:val="none" w:sz="0" w:space="0" w:color="auto"/>
        <w:left w:val="none" w:sz="0" w:space="0" w:color="auto"/>
        <w:bottom w:val="none" w:sz="0" w:space="0" w:color="auto"/>
        <w:right w:val="none" w:sz="0" w:space="0" w:color="auto"/>
      </w:divBdr>
    </w:div>
    <w:div w:id="2037347296">
      <w:bodyDiv w:val="1"/>
      <w:marLeft w:val="0"/>
      <w:marRight w:val="0"/>
      <w:marTop w:val="0"/>
      <w:marBottom w:val="0"/>
      <w:divBdr>
        <w:top w:val="none" w:sz="0" w:space="0" w:color="auto"/>
        <w:left w:val="none" w:sz="0" w:space="0" w:color="auto"/>
        <w:bottom w:val="none" w:sz="0" w:space="0" w:color="auto"/>
        <w:right w:val="none" w:sz="0" w:space="0" w:color="auto"/>
      </w:divBdr>
      <w:divsChild>
        <w:div w:id="57397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utazq@hebron.edu" TargetMode="External"/><Relationship Id="rId1" Type="http://schemas.openxmlformats.org/officeDocument/2006/relationships/hyperlink" Target="mailto:mmqafish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6FE8-8E84-45A9-BA29-EC3948E5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actc</dc:creator>
  <cp:lastModifiedBy>actc</cp:lastModifiedBy>
  <cp:revision>2</cp:revision>
  <dcterms:created xsi:type="dcterms:W3CDTF">2019-10-18T17:53:00Z</dcterms:created>
  <dcterms:modified xsi:type="dcterms:W3CDTF">2019-10-18T17:53:00Z</dcterms:modified>
</cp:coreProperties>
</file>