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8B0" w:rsidRPr="000808B0" w:rsidRDefault="000808B0" w:rsidP="000808B0">
      <w:pPr>
        <w:spacing w:after="0" w:line="240" w:lineRule="auto"/>
        <w:jc w:val="center"/>
        <w:rPr>
          <w:rFonts w:asciiTheme="majorBidi" w:eastAsia="Times New Roman" w:hAnsiTheme="majorBidi" w:cstheme="majorBidi"/>
          <w:b/>
          <w:bCs/>
          <w:color w:val="000000" w:themeColor="text1"/>
          <w:sz w:val="24"/>
          <w:szCs w:val="24"/>
        </w:rPr>
      </w:pPr>
      <w:r w:rsidRPr="000808B0">
        <w:rPr>
          <w:rFonts w:asciiTheme="majorBidi" w:eastAsia="Times New Roman" w:hAnsiTheme="majorBidi" w:cstheme="majorBidi"/>
          <w:b/>
          <w:bCs/>
          <w:color w:val="000000" w:themeColor="text1"/>
          <w:sz w:val="24"/>
          <w:szCs w:val="24"/>
        </w:rPr>
        <w:t>Nationalizing International Criminal Law under Occupation</w:t>
      </w:r>
      <w:bookmarkStart w:id="0" w:name="_GoBack"/>
      <w:bookmarkEnd w:id="0"/>
    </w:p>
    <w:p w:rsidR="000808B0" w:rsidRPr="000808B0" w:rsidRDefault="000808B0" w:rsidP="000808B0">
      <w:pPr>
        <w:spacing w:after="0" w:line="240" w:lineRule="auto"/>
        <w:jc w:val="center"/>
        <w:rPr>
          <w:rFonts w:asciiTheme="majorBidi" w:eastAsia="Times New Roman" w:hAnsiTheme="majorBidi" w:cstheme="majorBidi"/>
          <w:b/>
          <w:bCs/>
          <w:color w:val="000000" w:themeColor="text1"/>
          <w:sz w:val="24"/>
          <w:szCs w:val="24"/>
        </w:rPr>
      </w:pPr>
    </w:p>
    <w:p w:rsidR="000808B0" w:rsidRPr="000808B0" w:rsidRDefault="000808B0" w:rsidP="000808B0">
      <w:pPr>
        <w:spacing w:after="0" w:line="240" w:lineRule="auto"/>
        <w:jc w:val="center"/>
        <w:rPr>
          <w:rFonts w:asciiTheme="majorBidi" w:eastAsia="Times New Roman" w:hAnsiTheme="majorBidi" w:cstheme="majorBidi"/>
          <w:b/>
          <w:bCs/>
          <w:color w:val="000000" w:themeColor="text1"/>
          <w:sz w:val="24"/>
          <w:szCs w:val="24"/>
        </w:rPr>
      </w:pPr>
      <w:r w:rsidRPr="000808B0">
        <w:rPr>
          <w:rFonts w:asciiTheme="majorBidi" w:eastAsia="Times New Roman" w:hAnsiTheme="majorBidi" w:cstheme="majorBidi"/>
          <w:b/>
          <w:bCs/>
          <w:color w:val="000000" w:themeColor="text1"/>
          <w:sz w:val="24"/>
          <w:szCs w:val="24"/>
        </w:rPr>
        <w:t>The Challenge of ICC Complementarity in Palestine</w:t>
      </w:r>
    </w:p>
    <w:p w:rsidR="000808B0" w:rsidRPr="000808B0" w:rsidRDefault="000808B0" w:rsidP="000808B0">
      <w:pPr>
        <w:spacing w:after="0" w:line="240" w:lineRule="auto"/>
        <w:rPr>
          <w:rFonts w:asciiTheme="majorBidi" w:hAnsiTheme="majorBidi" w:cstheme="majorBidi"/>
          <w:color w:val="000000" w:themeColor="text1"/>
          <w:sz w:val="24"/>
          <w:szCs w:val="24"/>
        </w:rPr>
      </w:pPr>
    </w:p>
    <w:p w:rsidR="000808B0" w:rsidRPr="000808B0" w:rsidRDefault="000808B0" w:rsidP="000808B0">
      <w:pPr>
        <w:spacing w:after="0" w:line="240" w:lineRule="auto"/>
        <w:jc w:val="center"/>
        <w:rPr>
          <w:rFonts w:asciiTheme="majorBidi" w:hAnsiTheme="majorBidi" w:cstheme="majorBidi"/>
          <w:color w:val="000000" w:themeColor="text1"/>
          <w:sz w:val="24"/>
          <w:szCs w:val="24"/>
        </w:rPr>
      </w:pPr>
      <w:r w:rsidRPr="000808B0">
        <w:rPr>
          <w:rFonts w:asciiTheme="majorBidi" w:hAnsiTheme="majorBidi" w:cstheme="majorBidi"/>
          <w:color w:val="000000" w:themeColor="text1"/>
          <w:sz w:val="24"/>
          <w:szCs w:val="24"/>
        </w:rPr>
        <w:t xml:space="preserve">Dr. </w:t>
      </w:r>
      <w:proofErr w:type="spellStart"/>
      <w:r w:rsidRPr="000808B0">
        <w:rPr>
          <w:rFonts w:asciiTheme="majorBidi" w:hAnsiTheme="majorBidi" w:cstheme="majorBidi"/>
          <w:color w:val="000000" w:themeColor="text1"/>
          <w:sz w:val="24"/>
          <w:szCs w:val="24"/>
        </w:rPr>
        <w:t>Mutaz</w:t>
      </w:r>
      <w:proofErr w:type="spellEnd"/>
      <w:r w:rsidRPr="000808B0">
        <w:rPr>
          <w:rFonts w:asciiTheme="majorBidi" w:hAnsiTheme="majorBidi" w:cstheme="majorBidi"/>
          <w:color w:val="000000" w:themeColor="text1"/>
          <w:sz w:val="24"/>
          <w:szCs w:val="24"/>
        </w:rPr>
        <w:t xml:space="preserve"> M. </w:t>
      </w:r>
      <w:proofErr w:type="spellStart"/>
      <w:r w:rsidRPr="000808B0">
        <w:rPr>
          <w:rFonts w:asciiTheme="majorBidi" w:hAnsiTheme="majorBidi" w:cstheme="majorBidi"/>
          <w:color w:val="000000" w:themeColor="text1"/>
          <w:sz w:val="24"/>
          <w:szCs w:val="24"/>
        </w:rPr>
        <w:t>Qafisheh</w:t>
      </w:r>
      <w:proofErr w:type="spellEnd"/>
      <w:r w:rsidRPr="000808B0">
        <w:rPr>
          <w:rFonts w:asciiTheme="majorBidi" w:hAnsiTheme="majorBidi" w:cstheme="majorBidi"/>
          <w:color w:val="000000" w:themeColor="text1"/>
          <w:sz w:val="24"/>
          <w:szCs w:val="24"/>
        </w:rPr>
        <w:t xml:space="preserve">* </w:t>
      </w:r>
    </w:p>
    <w:p w:rsidR="000808B0" w:rsidRPr="000808B0" w:rsidRDefault="000808B0" w:rsidP="000808B0">
      <w:pPr>
        <w:spacing w:after="0" w:line="240" w:lineRule="auto"/>
        <w:jc w:val="center"/>
        <w:rPr>
          <w:rFonts w:asciiTheme="majorBidi" w:hAnsiTheme="majorBidi" w:cstheme="majorBidi"/>
          <w:color w:val="000000" w:themeColor="text1"/>
          <w:sz w:val="20"/>
          <w:szCs w:val="20"/>
        </w:rPr>
      </w:pPr>
    </w:p>
    <w:p w:rsidR="000808B0" w:rsidRPr="000808B0" w:rsidRDefault="000808B0" w:rsidP="000808B0">
      <w:pPr>
        <w:spacing w:after="0" w:line="240" w:lineRule="auto"/>
        <w:jc w:val="center"/>
        <w:rPr>
          <w:rFonts w:asciiTheme="majorBidi" w:hAnsiTheme="majorBidi" w:cstheme="majorBidi"/>
          <w:color w:val="000000" w:themeColor="text1"/>
          <w:sz w:val="24"/>
          <w:szCs w:val="24"/>
        </w:rPr>
      </w:pPr>
      <w:r w:rsidRPr="000808B0">
        <w:rPr>
          <w:rFonts w:asciiTheme="majorBidi" w:hAnsiTheme="majorBidi" w:cstheme="majorBidi"/>
          <w:color w:val="000000" w:themeColor="text1"/>
          <w:sz w:val="24"/>
          <w:szCs w:val="24"/>
        </w:rPr>
        <w:t>June 2016</w:t>
      </w:r>
    </w:p>
    <w:p w:rsidR="000808B0" w:rsidRPr="000808B0" w:rsidRDefault="000808B0" w:rsidP="000808B0">
      <w:pPr>
        <w:spacing w:after="0" w:line="240" w:lineRule="auto"/>
        <w:rPr>
          <w:rFonts w:asciiTheme="majorBidi" w:hAnsiTheme="majorBidi" w:cstheme="majorBidi"/>
          <w:color w:val="000000" w:themeColor="text1"/>
          <w:sz w:val="24"/>
          <w:szCs w:val="24"/>
        </w:rPr>
      </w:pPr>
      <w:r w:rsidRPr="000808B0">
        <w:rPr>
          <w:rFonts w:asciiTheme="majorBidi" w:hAnsiTheme="majorBidi" w:cstheme="majorBidi"/>
          <w:color w:val="000000" w:themeColor="text1"/>
          <w:sz w:val="24"/>
          <w:szCs w:val="24"/>
        </w:rPr>
        <w:t>___________________________________________________________________</w:t>
      </w:r>
    </w:p>
    <w:p w:rsidR="000808B0" w:rsidRPr="000808B0" w:rsidRDefault="000808B0" w:rsidP="000808B0">
      <w:pPr>
        <w:spacing w:after="0" w:line="240" w:lineRule="auto"/>
        <w:jc w:val="center"/>
        <w:rPr>
          <w:rFonts w:asciiTheme="majorBidi" w:hAnsiTheme="majorBidi" w:cstheme="majorBidi"/>
          <w:color w:val="000000" w:themeColor="text1"/>
          <w:sz w:val="24"/>
          <w:szCs w:val="24"/>
        </w:rPr>
      </w:pPr>
    </w:p>
    <w:p w:rsidR="000808B0" w:rsidRPr="000808B0" w:rsidRDefault="000808B0" w:rsidP="000808B0">
      <w:pPr>
        <w:spacing w:after="0" w:line="240" w:lineRule="auto"/>
        <w:jc w:val="center"/>
        <w:rPr>
          <w:rFonts w:asciiTheme="majorBidi" w:hAnsiTheme="majorBidi" w:cstheme="majorBidi"/>
          <w:color w:val="000000" w:themeColor="text1"/>
          <w:sz w:val="24"/>
          <w:szCs w:val="24"/>
        </w:rPr>
      </w:pPr>
      <w:r w:rsidRPr="000808B0">
        <w:rPr>
          <w:rFonts w:asciiTheme="majorBidi" w:hAnsiTheme="majorBidi" w:cstheme="majorBidi"/>
          <w:color w:val="000000" w:themeColor="text1"/>
          <w:sz w:val="24"/>
          <w:szCs w:val="24"/>
        </w:rPr>
        <w:t>Abstract</w:t>
      </w:r>
    </w:p>
    <w:p w:rsidR="000808B0" w:rsidRPr="000808B0" w:rsidRDefault="000808B0" w:rsidP="000808B0">
      <w:pPr>
        <w:spacing w:after="0" w:line="240" w:lineRule="auto"/>
        <w:jc w:val="both"/>
        <w:rPr>
          <w:rFonts w:asciiTheme="majorBidi" w:hAnsiTheme="majorBidi" w:cstheme="majorBidi"/>
          <w:color w:val="000000" w:themeColor="text1"/>
          <w:sz w:val="24"/>
          <w:szCs w:val="24"/>
        </w:rPr>
      </w:pPr>
    </w:p>
    <w:p w:rsidR="000808B0" w:rsidRPr="000808B0" w:rsidRDefault="000808B0" w:rsidP="000808B0">
      <w:pPr>
        <w:spacing w:after="0" w:line="240" w:lineRule="auto"/>
        <w:jc w:val="both"/>
        <w:rPr>
          <w:rFonts w:asciiTheme="majorBidi" w:hAnsiTheme="majorBidi" w:cstheme="majorBidi"/>
          <w:color w:val="000000" w:themeColor="text1"/>
          <w:sz w:val="24"/>
          <w:szCs w:val="24"/>
        </w:rPr>
      </w:pPr>
      <w:r w:rsidRPr="000808B0">
        <w:rPr>
          <w:rFonts w:asciiTheme="majorBidi" w:hAnsiTheme="majorBidi" w:cstheme="majorBidi"/>
          <w:color w:val="000000" w:themeColor="text1"/>
          <w:sz w:val="24"/>
          <w:szCs w:val="24"/>
        </w:rPr>
        <w:t>After becoming a state party to the Rome Statute of the International Criminal Court (ICC), Palestine needs to adopt a comprehensive legislation and to adapt its institutions to implement the Statute nationally. The legislation should answer pending questions on the relationship between Palestine and the ICC, including specifying the official body in charge of coordination with the Court, and the roles of the judiciary, prosecution, police, prison officials, and of civil society. It also needs to include substantive provisions relating to international crimes and penalties as well as procedural aspects pertaining to prosecute such crimes in the country. If Palestine does not enact such legislation, and set up a transparent and efficient corresponding institutional structure capable of indicating willingness or ability to investigate and prosecute, the ICC may have automatic admissibility over war crimes, crimes against humanity, and genocide that may be committed in Palestine or by Palestinians.</w:t>
      </w:r>
    </w:p>
    <w:p w:rsidR="000808B0" w:rsidRPr="000808B0" w:rsidRDefault="000808B0" w:rsidP="000808B0">
      <w:pPr>
        <w:spacing w:after="0" w:line="240" w:lineRule="auto"/>
        <w:jc w:val="both"/>
        <w:rPr>
          <w:rFonts w:asciiTheme="majorBidi" w:hAnsiTheme="majorBidi" w:cstheme="majorBidi"/>
          <w:color w:val="000000" w:themeColor="text1"/>
          <w:sz w:val="24"/>
          <w:szCs w:val="24"/>
        </w:rPr>
      </w:pPr>
      <w:r w:rsidRPr="000808B0">
        <w:rPr>
          <w:rFonts w:asciiTheme="majorBidi" w:hAnsiTheme="majorBidi" w:cstheme="majorBidi"/>
          <w:color w:val="000000" w:themeColor="text1"/>
          <w:sz w:val="24"/>
          <w:szCs w:val="24"/>
        </w:rPr>
        <w:t>_____________________________________________________________________</w:t>
      </w:r>
    </w:p>
    <w:p w:rsidR="000808B0" w:rsidRPr="000808B0" w:rsidRDefault="000808B0" w:rsidP="000808B0">
      <w:pPr>
        <w:spacing w:after="0" w:line="360" w:lineRule="auto"/>
        <w:jc w:val="both"/>
        <w:rPr>
          <w:rFonts w:asciiTheme="majorBidi" w:hAnsiTheme="majorBidi" w:cstheme="majorBidi"/>
          <w:color w:val="000000" w:themeColor="text1"/>
          <w:sz w:val="24"/>
          <w:szCs w:val="24"/>
        </w:rPr>
      </w:pPr>
    </w:p>
    <w:p w:rsidR="000808B0" w:rsidRPr="000808B0" w:rsidRDefault="000808B0" w:rsidP="000808B0">
      <w:pPr>
        <w:spacing w:after="0" w:line="360" w:lineRule="auto"/>
        <w:jc w:val="both"/>
        <w:rPr>
          <w:rFonts w:asciiTheme="majorBidi" w:hAnsiTheme="majorBidi" w:cstheme="majorBidi"/>
          <w:b/>
          <w:bCs/>
          <w:color w:val="000000" w:themeColor="text1"/>
          <w:sz w:val="24"/>
          <w:szCs w:val="24"/>
        </w:rPr>
      </w:pPr>
      <w:r w:rsidRPr="000808B0">
        <w:rPr>
          <w:rFonts w:asciiTheme="majorBidi" w:hAnsiTheme="majorBidi" w:cstheme="majorBidi"/>
          <w:b/>
          <w:bCs/>
          <w:color w:val="000000" w:themeColor="text1"/>
          <w:sz w:val="24"/>
          <w:szCs w:val="24"/>
        </w:rPr>
        <w:t>Introduction</w:t>
      </w:r>
    </w:p>
    <w:p w:rsidR="000808B0" w:rsidRPr="000808B0" w:rsidRDefault="000808B0" w:rsidP="000808B0">
      <w:pPr>
        <w:spacing w:after="0" w:line="360" w:lineRule="auto"/>
        <w:jc w:val="both"/>
        <w:rPr>
          <w:rFonts w:asciiTheme="majorBidi" w:hAnsiTheme="majorBidi" w:cstheme="majorBidi"/>
          <w:color w:val="000000" w:themeColor="text1"/>
          <w:sz w:val="24"/>
          <w:szCs w:val="24"/>
        </w:rPr>
      </w:pPr>
    </w:p>
    <w:p w:rsidR="00DC3736" w:rsidRDefault="000808B0" w:rsidP="000808B0">
      <w:r w:rsidRPr="000808B0">
        <w:rPr>
          <w:rFonts w:asciiTheme="majorBidi" w:hAnsiTheme="majorBidi" w:cstheme="majorBidi"/>
          <w:color w:val="000000" w:themeColor="text1"/>
          <w:sz w:val="24"/>
          <w:szCs w:val="24"/>
        </w:rPr>
        <w:t>On 1 April 2015, Palestine became the 123rd state party to the Rome Statute of the International Criminal Court (‘ICC’ or ‘Court’)</w:t>
      </w:r>
      <w:r w:rsidRPr="000808B0">
        <w:rPr>
          <w:rFonts w:asciiTheme="majorBidi" w:hAnsiTheme="majorBidi" w:cstheme="majorBidi"/>
          <w:color w:val="000000" w:themeColor="text1"/>
          <w:sz w:val="24"/>
          <w:szCs w:val="24"/>
          <w:vertAlign w:val="superscript"/>
        </w:rPr>
        <w:footnoteReference w:id="1"/>
      </w:r>
      <w:r w:rsidRPr="000808B0">
        <w:rPr>
          <w:rFonts w:asciiTheme="majorBidi" w:hAnsiTheme="majorBidi" w:cstheme="majorBidi"/>
          <w:color w:val="000000" w:themeColor="text1"/>
          <w:sz w:val="24"/>
          <w:szCs w:val="24"/>
        </w:rPr>
        <w:t xml:space="preserve"> of 17 July 1998.</w:t>
      </w:r>
      <w:r w:rsidRPr="000808B0">
        <w:rPr>
          <w:rFonts w:asciiTheme="majorBidi" w:hAnsiTheme="majorBidi" w:cstheme="majorBidi"/>
          <w:color w:val="000000" w:themeColor="text1"/>
          <w:sz w:val="24"/>
          <w:szCs w:val="24"/>
          <w:vertAlign w:val="superscript"/>
        </w:rPr>
        <w:footnoteReference w:id="2"/>
      </w:r>
      <w:r w:rsidRPr="000808B0">
        <w:rPr>
          <w:rFonts w:asciiTheme="majorBidi" w:hAnsiTheme="majorBidi" w:cstheme="majorBidi"/>
          <w:color w:val="000000" w:themeColor="text1"/>
          <w:sz w:val="24"/>
          <w:szCs w:val="24"/>
        </w:rPr>
        <w:t xml:space="preserve"> Palestine, like any ICC state party, has the right to ‘exercise its criminal jurisdiction over those responsible for international crimes’,</w:t>
      </w:r>
      <w:r w:rsidRPr="000808B0">
        <w:rPr>
          <w:rFonts w:asciiTheme="majorBidi" w:hAnsiTheme="majorBidi" w:cstheme="majorBidi"/>
          <w:color w:val="000000" w:themeColor="text1"/>
          <w:sz w:val="24"/>
          <w:szCs w:val="24"/>
          <w:vertAlign w:val="superscript"/>
        </w:rPr>
        <w:footnoteReference w:id="3"/>
      </w:r>
      <w:r w:rsidRPr="000808B0">
        <w:rPr>
          <w:rFonts w:asciiTheme="majorBidi" w:hAnsiTheme="majorBidi" w:cstheme="majorBidi"/>
          <w:color w:val="000000" w:themeColor="text1"/>
          <w:sz w:val="24"/>
          <w:szCs w:val="24"/>
        </w:rPr>
        <w:t xml:space="preserve"> as the ICC’s function is considered to be ‘complementary to national criminal jurisdictions’.</w:t>
      </w:r>
      <w:r w:rsidRPr="000808B0">
        <w:rPr>
          <w:rFonts w:asciiTheme="majorBidi" w:hAnsiTheme="majorBidi" w:cstheme="majorBidi"/>
          <w:color w:val="000000" w:themeColor="text1"/>
          <w:sz w:val="24"/>
          <w:szCs w:val="24"/>
          <w:vertAlign w:val="superscript"/>
        </w:rPr>
        <w:footnoteReference w:id="4"/>
      </w:r>
      <w:r w:rsidRPr="000808B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Based on</w:t>
      </w:r>
    </w:p>
    <w:sectPr w:rsidR="00DC37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6B6" w:rsidRDefault="00DD76B6" w:rsidP="000808B0">
      <w:pPr>
        <w:spacing w:after="0" w:line="240" w:lineRule="auto"/>
      </w:pPr>
      <w:r>
        <w:separator/>
      </w:r>
    </w:p>
  </w:endnote>
  <w:endnote w:type="continuationSeparator" w:id="0">
    <w:p w:rsidR="00DD76B6" w:rsidRDefault="00DD76B6" w:rsidP="0008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6B6" w:rsidRDefault="00DD76B6" w:rsidP="000808B0">
      <w:pPr>
        <w:spacing w:after="0" w:line="240" w:lineRule="auto"/>
      </w:pPr>
      <w:r>
        <w:separator/>
      </w:r>
    </w:p>
  </w:footnote>
  <w:footnote w:type="continuationSeparator" w:id="0">
    <w:p w:rsidR="00DD76B6" w:rsidRDefault="00DD76B6" w:rsidP="000808B0">
      <w:pPr>
        <w:spacing w:after="0" w:line="240" w:lineRule="auto"/>
      </w:pPr>
      <w:r>
        <w:continuationSeparator/>
      </w:r>
    </w:p>
  </w:footnote>
  <w:footnote w:id="1">
    <w:p w:rsidR="000808B0" w:rsidRPr="00400B52" w:rsidRDefault="000808B0" w:rsidP="000808B0">
      <w:pPr>
        <w:spacing w:after="0" w:line="240" w:lineRule="auto"/>
        <w:jc w:val="both"/>
        <w:rPr>
          <w:rFonts w:asciiTheme="majorBidi" w:hAnsiTheme="majorBidi" w:cstheme="majorBidi"/>
          <w:color w:val="000000" w:themeColor="text1"/>
          <w:sz w:val="20"/>
          <w:szCs w:val="20"/>
        </w:rPr>
      </w:pPr>
      <w:r w:rsidRPr="00400B52">
        <w:rPr>
          <w:rFonts w:asciiTheme="majorBidi" w:hAnsiTheme="majorBidi" w:cstheme="majorBidi"/>
          <w:b/>
          <w:bCs/>
          <w:color w:val="000000" w:themeColor="text1"/>
          <w:sz w:val="20"/>
          <w:szCs w:val="20"/>
        </w:rPr>
        <w:t xml:space="preserve">* </w:t>
      </w:r>
      <w:r w:rsidRPr="00400B52">
        <w:rPr>
          <w:rFonts w:asciiTheme="majorBidi" w:hAnsiTheme="majorBidi" w:cstheme="majorBidi"/>
          <w:color w:val="000000" w:themeColor="text1"/>
          <w:sz w:val="20"/>
          <w:szCs w:val="20"/>
        </w:rPr>
        <w:t xml:space="preserve">Dean and Associate Professor of Public International Law, Hebron University College of Law and Political Science, Palestine; he holds PhD in International Law from the Graduate Institute of International and Development Studies, Geneva. PhD Supervisor, University of Exeter School of Law, UK; Member of the International Law Association (ILA), ICC Complementarity Committee, London; Former Human Rights Officer at the United Nations in Geneva, Beirut, and Ramallah. He published six books and over 30 refereed articles in Oxford, Cambridge, The Hague, London, Oslo and elsewhere. I would like to thank </w:t>
      </w:r>
      <w:proofErr w:type="spellStart"/>
      <w:r w:rsidRPr="00400B52">
        <w:rPr>
          <w:rFonts w:asciiTheme="majorBidi" w:hAnsiTheme="majorBidi" w:cstheme="majorBidi"/>
          <w:color w:val="000000" w:themeColor="text1"/>
          <w:sz w:val="20"/>
          <w:szCs w:val="20"/>
          <w:shd w:val="clear" w:color="auto" w:fill="FFFFFF"/>
        </w:rPr>
        <w:t>Nereida</w:t>
      </w:r>
      <w:proofErr w:type="spellEnd"/>
      <w:r w:rsidRPr="00400B52">
        <w:rPr>
          <w:rFonts w:asciiTheme="majorBidi" w:hAnsiTheme="majorBidi" w:cstheme="majorBidi"/>
          <w:color w:val="000000" w:themeColor="text1"/>
          <w:sz w:val="20"/>
          <w:szCs w:val="20"/>
          <w:shd w:val="clear" w:color="auto" w:fill="FFFFFF"/>
        </w:rPr>
        <w:t xml:space="preserve"> G. Heller</w:t>
      </w:r>
      <w:r w:rsidRPr="00400B52">
        <w:rPr>
          <w:rFonts w:asciiTheme="majorBidi" w:hAnsiTheme="majorBidi" w:cstheme="majorBidi"/>
          <w:color w:val="000000" w:themeColor="text1"/>
          <w:sz w:val="20"/>
          <w:szCs w:val="20"/>
        </w:rPr>
        <w:t xml:space="preserve"> (University of California Berkeley) </w:t>
      </w:r>
      <w:r>
        <w:rPr>
          <w:rFonts w:asciiTheme="majorBidi" w:hAnsiTheme="majorBidi" w:cstheme="majorBidi"/>
          <w:color w:val="000000" w:themeColor="text1"/>
          <w:sz w:val="20"/>
          <w:szCs w:val="20"/>
          <w:shd w:val="clear" w:color="auto" w:fill="FFFFFF"/>
        </w:rPr>
        <w:t>a</w:t>
      </w:r>
      <w:r w:rsidRPr="00400B52">
        <w:rPr>
          <w:rFonts w:asciiTheme="majorBidi" w:hAnsiTheme="majorBidi" w:cstheme="majorBidi"/>
          <w:color w:val="000000" w:themeColor="text1"/>
          <w:sz w:val="20"/>
          <w:szCs w:val="20"/>
          <w:shd w:val="clear" w:color="auto" w:fill="FFFFFF"/>
        </w:rPr>
        <w:t xml:space="preserve">nd Alice </w:t>
      </w:r>
      <w:proofErr w:type="spellStart"/>
      <w:r w:rsidRPr="00400B52">
        <w:rPr>
          <w:rFonts w:asciiTheme="majorBidi" w:hAnsiTheme="majorBidi" w:cstheme="majorBidi"/>
          <w:color w:val="000000" w:themeColor="text1"/>
          <w:sz w:val="20"/>
          <w:szCs w:val="20"/>
          <w:shd w:val="clear" w:color="auto" w:fill="FFFFFF"/>
        </w:rPr>
        <w:t>Panepinto</w:t>
      </w:r>
      <w:proofErr w:type="spellEnd"/>
      <w:r w:rsidRPr="00400B52">
        <w:rPr>
          <w:rFonts w:asciiTheme="majorBidi" w:hAnsiTheme="majorBidi" w:cstheme="majorBidi"/>
          <w:color w:val="000000" w:themeColor="text1"/>
          <w:sz w:val="20"/>
          <w:szCs w:val="20"/>
          <w:shd w:val="clear" w:color="auto" w:fill="FFFFFF"/>
        </w:rPr>
        <w:t xml:space="preserve"> </w:t>
      </w:r>
      <w:r>
        <w:rPr>
          <w:rFonts w:asciiTheme="majorBidi" w:hAnsiTheme="majorBidi" w:cstheme="majorBidi"/>
          <w:color w:val="000000" w:themeColor="text1"/>
          <w:sz w:val="20"/>
          <w:szCs w:val="20"/>
          <w:shd w:val="clear" w:color="auto" w:fill="FFFFFF"/>
        </w:rPr>
        <w:t>(</w:t>
      </w:r>
      <w:r w:rsidRPr="00400B52">
        <w:rPr>
          <w:rFonts w:asciiTheme="majorBidi" w:hAnsiTheme="majorBidi" w:cstheme="majorBidi"/>
          <w:color w:val="000000" w:themeColor="text1"/>
          <w:sz w:val="20"/>
          <w:szCs w:val="20"/>
          <w:shd w:val="clear" w:color="auto" w:fill="FFFFFF"/>
        </w:rPr>
        <w:t xml:space="preserve">University </w:t>
      </w:r>
      <w:r>
        <w:rPr>
          <w:rFonts w:asciiTheme="majorBidi" w:hAnsiTheme="majorBidi" w:cstheme="majorBidi"/>
          <w:color w:val="000000" w:themeColor="text1"/>
          <w:sz w:val="20"/>
          <w:szCs w:val="20"/>
          <w:shd w:val="clear" w:color="auto" w:fill="FFFFFF"/>
        </w:rPr>
        <w:t>of Warwick)</w:t>
      </w:r>
      <w:r w:rsidRPr="00400B52">
        <w:rPr>
          <w:rFonts w:asciiTheme="majorBidi" w:hAnsiTheme="majorBidi" w:cstheme="majorBidi"/>
          <w:color w:val="000000" w:themeColor="text1"/>
          <w:sz w:val="20"/>
          <w:szCs w:val="20"/>
          <w:shd w:val="clear" w:color="auto" w:fill="FFFFFF"/>
        </w:rPr>
        <w:t xml:space="preserve"> </w:t>
      </w:r>
      <w:r>
        <w:rPr>
          <w:rFonts w:asciiTheme="majorBidi" w:hAnsiTheme="majorBidi" w:cstheme="majorBidi"/>
          <w:color w:val="000000" w:themeColor="text1"/>
          <w:sz w:val="20"/>
          <w:szCs w:val="20"/>
        </w:rPr>
        <w:t>for their</w:t>
      </w:r>
      <w:r w:rsidRPr="00400B52">
        <w:rPr>
          <w:rFonts w:asciiTheme="majorBidi" w:hAnsiTheme="majorBidi" w:cstheme="majorBidi"/>
          <w:color w:val="000000" w:themeColor="text1"/>
          <w:sz w:val="20"/>
          <w:szCs w:val="20"/>
        </w:rPr>
        <w:t xml:space="preserve"> useful comments on </w:t>
      </w:r>
      <w:r>
        <w:rPr>
          <w:rFonts w:asciiTheme="majorBidi" w:hAnsiTheme="majorBidi" w:cstheme="majorBidi"/>
          <w:color w:val="000000" w:themeColor="text1"/>
          <w:sz w:val="20"/>
          <w:szCs w:val="20"/>
        </w:rPr>
        <w:t>an early draft of this paper as well as</w:t>
      </w:r>
      <w:r w:rsidRPr="00400B52">
        <w:rPr>
          <w:rFonts w:asciiTheme="majorBidi" w:hAnsiTheme="majorBidi" w:cstheme="majorBidi"/>
          <w:color w:val="000000" w:themeColor="text1"/>
          <w:sz w:val="20"/>
          <w:szCs w:val="20"/>
        </w:rPr>
        <w:t xml:space="preserve"> Mia Swart (University of Johannesburg and ILA</w:t>
      </w:r>
      <w:r w:rsidRPr="00400B52">
        <w:rPr>
          <w:rFonts w:asciiTheme="majorBidi" w:eastAsia="Times New Roman" w:hAnsiTheme="majorBidi" w:cstheme="majorBidi"/>
          <w:color w:val="000000" w:themeColor="text1"/>
          <w:sz w:val="20"/>
          <w:szCs w:val="20"/>
        </w:rPr>
        <w:t>’</w:t>
      </w:r>
      <w:r w:rsidRPr="00400B52">
        <w:rPr>
          <w:rFonts w:asciiTheme="majorBidi" w:hAnsiTheme="majorBidi" w:cstheme="majorBidi"/>
          <w:color w:val="000000" w:themeColor="text1"/>
          <w:sz w:val="20"/>
          <w:szCs w:val="20"/>
        </w:rPr>
        <w:t xml:space="preserve">s Chair of Complementarity Committee) for motivating me to write it. All translations are done by the writer. Any mistake is mine. Email: </w:t>
      </w:r>
      <w:hyperlink r:id="rId1" w:history="1">
        <w:r w:rsidRPr="00400B52">
          <w:rPr>
            <w:rStyle w:val="Hyperlink"/>
            <w:rFonts w:asciiTheme="majorBidi" w:hAnsiTheme="majorBidi" w:cstheme="majorBidi"/>
            <w:color w:val="000000" w:themeColor="text1"/>
            <w:sz w:val="20"/>
            <w:szCs w:val="20"/>
          </w:rPr>
          <w:t>mmqafisheh@gmail.com</w:t>
        </w:r>
      </w:hyperlink>
      <w:r w:rsidRPr="00400B52">
        <w:rPr>
          <w:rFonts w:asciiTheme="majorBidi" w:hAnsiTheme="majorBidi" w:cstheme="majorBidi"/>
          <w:color w:val="000000" w:themeColor="text1"/>
          <w:sz w:val="20"/>
          <w:szCs w:val="20"/>
        </w:rPr>
        <w:t xml:space="preserve"> or </w:t>
      </w:r>
      <w:hyperlink r:id="rId2" w:history="1">
        <w:r w:rsidRPr="00400B52">
          <w:rPr>
            <w:rStyle w:val="Hyperlink"/>
            <w:rFonts w:asciiTheme="majorBidi" w:hAnsiTheme="majorBidi" w:cstheme="majorBidi"/>
            <w:color w:val="000000" w:themeColor="text1"/>
            <w:sz w:val="20"/>
            <w:szCs w:val="20"/>
          </w:rPr>
          <w:t>mutazq@hebron.edu</w:t>
        </w:r>
      </w:hyperlink>
    </w:p>
    <w:p w:rsidR="000808B0" w:rsidRPr="00E33FED" w:rsidRDefault="000808B0" w:rsidP="000808B0">
      <w:pPr>
        <w:pStyle w:val="Heading3"/>
        <w:shd w:val="clear" w:color="auto" w:fill="FFFFFF"/>
        <w:bidi w:val="0"/>
        <w:spacing w:before="0" w:line="240" w:lineRule="auto"/>
        <w:jc w:val="both"/>
        <w:rPr>
          <w:rFonts w:asciiTheme="majorBidi" w:eastAsia="Times New Roman" w:hAnsiTheme="majorBidi"/>
          <w:b w:val="0"/>
          <w:bCs w:val="0"/>
          <w:color w:val="auto"/>
          <w:sz w:val="20"/>
          <w:szCs w:val="20"/>
        </w:rPr>
      </w:pPr>
      <w:r w:rsidRPr="00E33FED">
        <w:rPr>
          <w:rStyle w:val="FootnoteReference"/>
          <w:rFonts w:asciiTheme="majorBidi" w:hAnsiTheme="majorBidi"/>
          <w:b w:val="0"/>
          <w:bCs w:val="0"/>
          <w:color w:val="auto"/>
          <w:sz w:val="20"/>
          <w:szCs w:val="20"/>
        </w:rPr>
        <w:footnoteRef/>
      </w:r>
      <w:r w:rsidRPr="00E33FED">
        <w:rPr>
          <w:rFonts w:asciiTheme="majorBidi" w:hAnsiTheme="majorBidi"/>
          <w:b w:val="0"/>
          <w:bCs w:val="0"/>
          <w:color w:val="auto"/>
          <w:sz w:val="20"/>
          <w:szCs w:val="20"/>
          <w:rtl/>
        </w:rPr>
        <w:t xml:space="preserve"> </w:t>
      </w:r>
      <w:r w:rsidRPr="00E33FED">
        <w:rPr>
          <w:rFonts w:asciiTheme="majorBidi" w:hAnsiTheme="majorBidi"/>
          <w:b w:val="0"/>
          <w:bCs w:val="0"/>
          <w:color w:val="auto"/>
          <w:sz w:val="20"/>
          <w:szCs w:val="20"/>
        </w:rPr>
        <w:t>ICC</w:t>
      </w:r>
      <w:r w:rsidRPr="00E33FED">
        <w:rPr>
          <w:rFonts w:asciiTheme="majorBidi" w:eastAsia="Times New Roman" w:hAnsiTheme="majorBidi"/>
          <w:b w:val="0"/>
          <w:bCs w:val="0"/>
          <w:color w:val="auto"/>
          <w:sz w:val="20"/>
          <w:szCs w:val="20"/>
        </w:rPr>
        <w:t xml:space="preserve"> Press Release</w:t>
      </w:r>
      <w:r w:rsidRPr="00E33FED">
        <w:rPr>
          <w:rFonts w:asciiTheme="majorBidi" w:hAnsiTheme="majorBidi"/>
          <w:b w:val="0"/>
          <w:bCs w:val="0"/>
          <w:color w:val="auto"/>
          <w:sz w:val="20"/>
          <w:szCs w:val="20"/>
        </w:rPr>
        <w:t>, ‘</w:t>
      </w:r>
      <w:r w:rsidRPr="00E33FED">
        <w:rPr>
          <w:rFonts w:asciiTheme="majorBidi" w:eastAsia="Times New Roman" w:hAnsiTheme="majorBidi"/>
          <w:b w:val="0"/>
          <w:bCs w:val="0"/>
          <w:color w:val="auto"/>
          <w:sz w:val="20"/>
          <w:szCs w:val="20"/>
        </w:rPr>
        <w:t xml:space="preserve">ICC welcomes Palestine as a new State Party’, </w:t>
      </w:r>
      <w:r w:rsidRPr="00E33FED">
        <w:rPr>
          <w:rFonts w:asciiTheme="majorBidi" w:hAnsiTheme="majorBidi"/>
          <w:b w:val="0"/>
          <w:bCs w:val="0"/>
          <w:color w:val="auto"/>
          <w:sz w:val="20"/>
          <w:szCs w:val="20"/>
          <w:shd w:val="clear" w:color="auto" w:fill="FFFFFF"/>
        </w:rPr>
        <w:t>ICC-CPI-20150401-PR1103</w:t>
      </w:r>
      <w:r w:rsidRPr="00E33FED">
        <w:rPr>
          <w:rFonts w:asciiTheme="majorBidi" w:eastAsia="Times New Roman" w:hAnsiTheme="majorBidi"/>
          <w:b w:val="0"/>
          <w:bCs w:val="0"/>
          <w:color w:val="auto"/>
          <w:sz w:val="20"/>
          <w:szCs w:val="20"/>
        </w:rPr>
        <w:t xml:space="preserve"> (The Hague, 1 April 2015).</w:t>
      </w:r>
    </w:p>
  </w:footnote>
  <w:footnote w:id="2">
    <w:p w:rsidR="000808B0" w:rsidRPr="00E33FED" w:rsidRDefault="000808B0" w:rsidP="000808B0">
      <w:pPr>
        <w:pStyle w:val="FootnoteText"/>
        <w:bidi w:val="0"/>
        <w:jc w:val="both"/>
        <w:rPr>
          <w:rFonts w:asciiTheme="majorBidi" w:hAnsiTheme="majorBidi" w:cstheme="majorBidi"/>
        </w:rPr>
      </w:pPr>
      <w:r w:rsidRPr="00E33FED">
        <w:rPr>
          <w:rStyle w:val="FootnoteReference"/>
          <w:rFonts w:asciiTheme="majorBidi" w:hAnsiTheme="majorBidi" w:cstheme="majorBidi"/>
        </w:rPr>
        <w:footnoteRef/>
      </w:r>
      <w:r w:rsidRPr="00E33FED">
        <w:rPr>
          <w:rFonts w:asciiTheme="majorBidi" w:hAnsiTheme="majorBidi" w:cstheme="majorBidi"/>
          <w:rtl/>
        </w:rPr>
        <w:t xml:space="preserve"> </w:t>
      </w:r>
      <w:r w:rsidRPr="00E33FED">
        <w:rPr>
          <w:rFonts w:asciiTheme="majorBidi" w:hAnsiTheme="majorBidi" w:cstheme="majorBidi"/>
          <w:shd w:val="clear" w:color="auto" w:fill="FFFFFF"/>
        </w:rPr>
        <w:t>2187</w:t>
      </w:r>
      <w:r w:rsidRPr="00E33FED">
        <w:rPr>
          <w:rStyle w:val="apple-converted-space"/>
          <w:rFonts w:asciiTheme="majorBidi" w:hAnsiTheme="majorBidi" w:cstheme="majorBidi"/>
          <w:shd w:val="clear" w:color="auto" w:fill="FFFFFF"/>
        </w:rPr>
        <w:t> </w:t>
      </w:r>
      <w:r w:rsidRPr="00E33FED">
        <w:rPr>
          <w:rStyle w:val="Emphasis"/>
          <w:rFonts w:asciiTheme="majorBidi" w:hAnsiTheme="majorBidi" w:cstheme="majorBidi"/>
          <w:shd w:val="clear" w:color="auto" w:fill="FFFFFF"/>
        </w:rPr>
        <w:t>United Nations Treaty Series</w:t>
      </w:r>
      <w:r w:rsidRPr="00E33FED">
        <w:rPr>
          <w:rStyle w:val="apple-converted-space"/>
          <w:rFonts w:asciiTheme="majorBidi" w:hAnsiTheme="majorBidi" w:cstheme="majorBidi"/>
          <w:shd w:val="clear" w:color="auto" w:fill="FFFFFF"/>
        </w:rPr>
        <w:t xml:space="preserve"> (UNTS) </w:t>
      </w:r>
      <w:r w:rsidRPr="00E33FED">
        <w:rPr>
          <w:rFonts w:asciiTheme="majorBidi" w:hAnsiTheme="majorBidi" w:cstheme="majorBidi"/>
          <w:shd w:val="clear" w:color="auto" w:fill="FFFFFF"/>
        </w:rPr>
        <w:t>90.</w:t>
      </w:r>
      <w:r w:rsidRPr="00E33FED">
        <w:rPr>
          <w:rFonts w:asciiTheme="majorBidi" w:hAnsiTheme="majorBidi" w:cstheme="majorBidi"/>
        </w:rPr>
        <w:t xml:space="preserve"> Hereinafter ‘the Rome Statute’ or ‘the Statute’.</w:t>
      </w:r>
    </w:p>
  </w:footnote>
  <w:footnote w:id="3">
    <w:p w:rsidR="000808B0" w:rsidRPr="00E33FED" w:rsidRDefault="000808B0" w:rsidP="000808B0">
      <w:pPr>
        <w:pStyle w:val="FootnoteText"/>
        <w:bidi w:val="0"/>
        <w:jc w:val="both"/>
        <w:rPr>
          <w:rFonts w:asciiTheme="majorBidi" w:hAnsiTheme="majorBidi" w:cstheme="majorBidi"/>
        </w:rPr>
      </w:pPr>
      <w:r w:rsidRPr="00E33FED">
        <w:rPr>
          <w:rStyle w:val="FootnoteReference"/>
          <w:rFonts w:asciiTheme="majorBidi" w:hAnsiTheme="majorBidi" w:cstheme="majorBidi"/>
        </w:rPr>
        <w:footnoteRef/>
      </w:r>
      <w:r w:rsidRPr="00E33FED">
        <w:rPr>
          <w:rFonts w:asciiTheme="majorBidi" w:hAnsiTheme="majorBidi" w:cstheme="majorBidi"/>
          <w:rtl/>
        </w:rPr>
        <w:t xml:space="preserve"> </w:t>
      </w:r>
      <w:r w:rsidRPr="00E33FED">
        <w:rPr>
          <w:rFonts w:asciiTheme="majorBidi" w:hAnsiTheme="majorBidi" w:cstheme="majorBidi"/>
        </w:rPr>
        <w:t xml:space="preserve">The Statute, preamble, </w:t>
      </w:r>
      <w:proofErr w:type="spellStart"/>
      <w:r w:rsidRPr="00E33FED">
        <w:rPr>
          <w:rFonts w:asciiTheme="majorBidi" w:hAnsiTheme="majorBidi" w:cstheme="majorBidi"/>
        </w:rPr>
        <w:t>para</w:t>
      </w:r>
      <w:proofErr w:type="spellEnd"/>
      <w:r w:rsidRPr="00E33FED">
        <w:rPr>
          <w:rFonts w:asciiTheme="majorBidi" w:hAnsiTheme="majorBidi" w:cstheme="majorBidi"/>
        </w:rPr>
        <w:t>. 10.</w:t>
      </w:r>
    </w:p>
  </w:footnote>
  <w:footnote w:id="4">
    <w:p w:rsidR="000808B0" w:rsidRPr="00E33FED" w:rsidRDefault="000808B0" w:rsidP="000808B0">
      <w:pPr>
        <w:pStyle w:val="FootnoteText"/>
        <w:bidi w:val="0"/>
        <w:jc w:val="both"/>
        <w:rPr>
          <w:rFonts w:asciiTheme="majorBidi" w:hAnsiTheme="majorBidi" w:cstheme="majorBidi"/>
        </w:rPr>
      </w:pPr>
      <w:r w:rsidRPr="00E33FED">
        <w:rPr>
          <w:rStyle w:val="FootnoteReference"/>
          <w:rFonts w:asciiTheme="majorBidi" w:hAnsiTheme="majorBidi" w:cstheme="majorBidi"/>
        </w:rPr>
        <w:footnoteRef/>
      </w:r>
      <w:r w:rsidRPr="00E33FED">
        <w:rPr>
          <w:rFonts w:asciiTheme="majorBidi" w:hAnsiTheme="majorBidi" w:cstheme="majorBidi"/>
          <w:rtl/>
        </w:rPr>
        <w:t xml:space="preserve"> </w:t>
      </w:r>
      <w:r w:rsidRPr="00E33FED">
        <w:rPr>
          <w:rFonts w:asciiTheme="majorBidi" w:hAnsiTheme="majorBidi" w:cstheme="majorBidi"/>
        </w:rPr>
        <w:t>Art. 1 of the Statute.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B0"/>
    <w:rsid w:val="000808B0"/>
    <w:rsid w:val="00DC3736"/>
    <w:rsid w:val="00DD7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808B0"/>
    <w:pPr>
      <w:keepNext/>
      <w:keepLines/>
      <w:bidi/>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08B0"/>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0808B0"/>
    <w:pPr>
      <w:bidi/>
      <w:spacing w:after="0" w:line="240" w:lineRule="auto"/>
    </w:pPr>
    <w:rPr>
      <w:sz w:val="20"/>
      <w:szCs w:val="20"/>
    </w:rPr>
  </w:style>
  <w:style w:type="character" w:customStyle="1" w:styleId="FootnoteTextChar">
    <w:name w:val="Footnote Text Char"/>
    <w:basedOn w:val="DefaultParagraphFont"/>
    <w:link w:val="FootnoteText"/>
    <w:uiPriority w:val="99"/>
    <w:rsid w:val="000808B0"/>
    <w:rPr>
      <w:sz w:val="20"/>
      <w:szCs w:val="20"/>
    </w:rPr>
  </w:style>
  <w:style w:type="character" w:styleId="FootnoteReference">
    <w:name w:val="footnote reference"/>
    <w:basedOn w:val="DefaultParagraphFont"/>
    <w:semiHidden/>
    <w:unhideWhenUsed/>
    <w:rsid w:val="000808B0"/>
    <w:rPr>
      <w:vertAlign w:val="superscript"/>
    </w:rPr>
  </w:style>
  <w:style w:type="character" w:customStyle="1" w:styleId="apple-converted-space">
    <w:name w:val="apple-converted-space"/>
    <w:basedOn w:val="DefaultParagraphFont"/>
    <w:rsid w:val="000808B0"/>
  </w:style>
  <w:style w:type="character" w:styleId="Hyperlink">
    <w:name w:val="Hyperlink"/>
    <w:basedOn w:val="DefaultParagraphFont"/>
    <w:uiPriority w:val="99"/>
    <w:unhideWhenUsed/>
    <w:rsid w:val="000808B0"/>
    <w:rPr>
      <w:color w:val="0000FF" w:themeColor="hyperlink"/>
      <w:u w:val="single"/>
    </w:rPr>
  </w:style>
  <w:style w:type="character" w:styleId="Emphasis">
    <w:name w:val="Emphasis"/>
    <w:basedOn w:val="DefaultParagraphFont"/>
    <w:uiPriority w:val="20"/>
    <w:qFormat/>
    <w:rsid w:val="000808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0808B0"/>
    <w:pPr>
      <w:keepNext/>
      <w:keepLines/>
      <w:bidi/>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08B0"/>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0808B0"/>
    <w:pPr>
      <w:bidi/>
      <w:spacing w:after="0" w:line="240" w:lineRule="auto"/>
    </w:pPr>
    <w:rPr>
      <w:sz w:val="20"/>
      <w:szCs w:val="20"/>
    </w:rPr>
  </w:style>
  <w:style w:type="character" w:customStyle="1" w:styleId="FootnoteTextChar">
    <w:name w:val="Footnote Text Char"/>
    <w:basedOn w:val="DefaultParagraphFont"/>
    <w:link w:val="FootnoteText"/>
    <w:uiPriority w:val="99"/>
    <w:rsid w:val="000808B0"/>
    <w:rPr>
      <w:sz w:val="20"/>
      <w:szCs w:val="20"/>
    </w:rPr>
  </w:style>
  <w:style w:type="character" w:styleId="FootnoteReference">
    <w:name w:val="footnote reference"/>
    <w:basedOn w:val="DefaultParagraphFont"/>
    <w:semiHidden/>
    <w:unhideWhenUsed/>
    <w:rsid w:val="000808B0"/>
    <w:rPr>
      <w:vertAlign w:val="superscript"/>
    </w:rPr>
  </w:style>
  <w:style w:type="character" w:customStyle="1" w:styleId="apple-converted-space">
    <w:name w:val="apple-converted-space"/>
    <w:basedOn w:val="DefaultParagraphFont"/>
    <w:rsid w:val="000808B0"/>
  </w:style>
  <w:style w:type="character" w:styleId="Hyperlink">
    <w:name w:val="Hyperlink"/>
    <w:basedOn w:val="DefaultParagraphFont"/>
    <w:uiPriority w:val="99"/>
    <w:unhideWhenUsed/>
    <w:rsid w:val="000808B0"/>
    <w:rPr>
      <w:color w:val="0000FF" w:themeColor="hyperlink"/>
      <w:u w:val="single"/>
    </w:rPr>
  </w:style>
  <w:style w:type="character" w:styleId="Emphasis">
    <w:name w:val="Emphasis"/>
    <w:basedOn w:val="DefaultParagraphFont"/>
    <w:uiPriority w:val="20"/>
    <w:qFormat/>
    <w:rsid w:val="000808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mutazq@hebron.edu" TargetMode="External"/><Relationship Id="rId1" Type="http://schemas.openxmlformats.org/officeDocument/2006/relationships/hyperlink" Target="mailto:mmqafishe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actc</dc:creator>
  <cp:lastModifiedBy>actc</cp:lastModifiedBy>
  <cp:revision>1</cp:revision>
  <dcterms:created xsi:type="dcterms:W3CDTF">2019-10-18T17:15:00Z</dcterms:created>
  <dcterms:modified xsi:type="dcterms:W3CDTF">2019-10-18T17:16:00Z</dcterms:modified>
</cp:coreProperties>
</file>