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88" w:rsidRPr="00100028" w:rsidRDefault="00F01A80" w:rsidP="00100028">
      <w:pPr>
        <w:bidi w:val="0"/>
        <w:jc w:val="center"/>
        <w:rPr>
          <w:rFonts w:asciiTheme="majorBidi" w:hAnsiTheme="majorBidi" w:cstheme="majorBidi"/>
          <w:b/>
          <w:bCs/>
          <w:sz w:val="24"/>
          <w:szCs w:val="24"/>
          <w:lang w:val="en-GB"/>
        </w:rPr>
      </w:pPr>
      <w:bookmarkStart w:id="0" w:name="_GoBack"/>
      <w:r w:rsidRPr="00100028">
        <w:rPr>
          <w:rFonts w:asciiTheme="majorBidi" w:hAnsiTheme="majorBidi" w:cstheme="majorBidi"/>
          <w:b/>
          <w:bCs/>
          <w:sz w:val="24"/>
          <w:szCs w:val="24"/>
          <w:lang w:val="en-GB"/>
        </w:rPr>
        <w:t>WHO HAS THE RIGHT TO BECOME A</w:t>
      </w:r>
      <w:r w:rsidR="00A52788" w:rsidRPr="00100028">
        <w:rPr>
          <w:rFonts w:asciiTheme="majorBidi" w:hAnsiTheme="majorBidi" w:cstheme="majorBidi"/>
          <w:b/>
          <w:bCs/>
          <w:sz w:val="24"/>
          <w:szCs w:val="24"/>
          <w:lang w:val="en-GB"/>
        </w:rPr>
        <w:t xml:space="preserve"> </w:t>
      </w:r>
      <w:r w:rsidRPr="00100028">
        <w:rPr>
          <w:rFonts w:asciiTheme="majorBidi" w:hAnsiTheme="majorBidi" w:cstheme="majorBidi"/>
          <w:b/>
          <w:bCs/>
          <w:sz w:val="24"/>
          <w:szCs w:val="24"/>
          <w:lang w:val="en-GB"/>
        </w:rPr>
        <w:t>PALESTINIAN CITIZEN</w:t>
      </w:r>
      <w:r w:rsidR="00A52788" w:rsidRPr="00100028">
        <w:rPr>
          <w:rFonts w:asciiTheme="majorBidi" w:hAnsiTheme="majorBidi" w:cstheme="majorBidi"/>
          <w:b/>
          <w:bCs/>
          <w:sz w:val="24"/>
          <w:szCs w:val="24"/>
          <w:lang w:val="en-GB"/>
        </w:rPr>
        <w:t>?</w:t>
      </w:r>
    </w:p>
    <w:p w:rsidR="00A52788" w:rsidRPr="00100028" w:rsidRDefault="00A52788" w:rsidP="00100028">
      <w:pPr>
        <w:bidi w:val="0"/>
        <w:jc w:val="center"/>
        <w:rPr>
          <w:rFonts w:asciiTheme="majorBidi" w:hAnsiTheme="majorBidi" w:cstheme="majorBidi"/>
          <w:b/>
          <w:bCs/>
          <w:sz w:val="24"/>
          <w:szCs w:val="24"/>
          <w:lang w:val="en-GB"/>
        </w:rPr>
      </w:pPr>
    </w:p>
    <w:p w:rsidR="00A52788" w:rsidRPr="00100028" w:rsidRDefault="00F01A80" w:rsidP="00100028">
      <w:pPr>
        <w:bidi w:val="0"/>
        <w:jc w:val="center"/>
        <w:rPr>
          <w:rFonts w:asciiTheme="majorBidi" w:hAnsiTheme="majorBidi" w:cstheme="majorBidi"/>
          <w:b/>
          <w:bCs/>
          <w:sz w:val="24"/>
          <w:szCs w:val="24"/>
          <w:lang w:val="en-GB"/>
        </w:rPr>
      </w:pPr>
      <w:r w:rsidRPr="00100028">
        <w:rPr>
          <w:rFonts w:asciiTheme="majorBidi" w:hAnsiTheme="majorBidi" w:cstheme="majorBidi"/>
          <w:b/>
          <w:bCs/>
          <w:sz w:val="24"/>
          <w:szCs w:val="24"/>
          <w:lang w:val="en-GB"/>
        </w:rPr>
        <w:t>AN INTERNATIONAL LAW ANALYSIS</w:t>
      </w:r>
    </w:p>
    <w:p w:rsidR="00A52788" w:rsidRPr="00100028" w:rsidRDefault="00A52788" w:rsidP="00100028">
      <w:pPr>
        <w:bidi w:val="0"/>
        <w:jc w:val="center"/>
        <w:rPr>
          <w:rFonts w:asciiTheme="majorBidi" w:hAnsiTheme="majorBidi" w:cstheme="majorBidi"/>
          <w:sz w:val="24"/>
          <w:szCs w:val="24"/>
          <w:lang w:val="en-GB"/>
        </w:rPr>
      </w:pPr>
    </w:p>
    <w:p w:rsidR="00A52788" w:rsidRPr="00936FE9" w:rsidRDefault="00A52788" w:rsidP="00100028">
      <w:pPr>
        <w:bidi w:val="0"/>
        <w:jc w:val="center"/>
        <w:rPr>
          <w:rFonts w:asciiTheme="majorBidi" w:hAnsiTheme="majorBidi" w:cstheme="majorBidi"/>
          <w:sz w:val="24"/>
          <w:szCs w:val="24"/>
        </w:rPr>
      </w:pPr>
      <w:proofErr w:type="spellStart"/>
      <w:r w:rsidRPr="00100028">
        <w:rPr>
          <w:rFonts w:asciiTheme="majorBidi" w:hAnsiTheme="majorBidi" w:cstheme="majorBidi"/>
          <w:sz w:val="24"/>
          <w:szCs w:val="24"/>
          <w:lang w:val="en-GB"/>
        </w:rPr>
        <w:t>Mutaz</w:t>
      </w:r>
      <w:proofErr w:type="spellEnd"/>
      <w:r w:rsidRPr="00100028">
        <w:rPr>
          <w:rFonts w:asciiTheme="majorBidi" w:hAnsiTheme="majorBidi" w:cstheme="majorBidi"/>
          <w:sz w:val="24"/>
          <w:szCs w:val="24"/>
          <w:lang w:val="en-GB"/>
        </w:rPr>
        <w:t xml:space="preserve"> M. </w:t>
      </w:r>
      <w:proofErr w:type="spellStart"/>
      <w:r w:rsidRPr="00100028">
        <w:rPr>
          <w:rFonts w:asciiTheme="majorBidi" w:hAnsiTheme="majorBidi" w:cstheme="majorBidi"/>
          <w:sz w:val="24"/>
          <w:szCs w:val="24"/>
          <w:lang w:val="en-GB"/>
        </w:rPr>
        <w:t>Qafisheh</w:t>
      </w:r>
      <w:proofErr w:type="spellEnd"/>
      <w:r w:rsidR="00CF277A" w:rsidRPr="00100028">
        <w:rPr>
          <w:rFonts w:asciiTheme="majorBidi" w:hAnsiTheme="majorBidi" w:cstheme="majorBidi"/>
          <w:sz w:val="24"/>
          <w:szCs w:val="24"/>
          <w:lang w:val="en-GB"/>
        </w:rPr>
        <w:t>*</w:t>
      </w:r>
    </w:p>
    <w:p w:rsidR="00A52788" w:rsidRDefault="00A52788" w:rsidP="00100028">
      <w:pPr>
        <w:jc w:val="center"/>
        <w:rPr>
          <w:rFonts w:asciiTheme="majorBidi" w:hAnsiTheme="majorBidi" w:cstheme="majorBidi"/>
          <w:sz w:val="24"/>
          <w:szCs w:val="24"/>
          <w:rtl/>
          <w:lang w:val="en-GB" w:bidi="ar-SA"/>
        </w:rPr>
      </w:pPr>
    </w:p>
    <w:p w:rsidR="00E57834" w:rsidRPr="00100028" w:rsidRDefault="00E57834" w:rsidP="00100028">
      <w:pPr>
        <w:jc w:val="center"/>
        <w:rPr>
          <w:rFonts w:asciiTheme="majorBidi" w:hAnsiTheme="majorBidi" w:cstheme="majorBidi"/>
          <w:sz w:val="24"/>
          <w:szCs w:val="24"/>
          <w:rtl/>
          <w:lang w:val="en-GB" w:bidi="ar-SA"/>
        </w:rPr>
      </w:pPr>
    </w:p>
    <w:p w:rsidR="00606F81" w:rsidRPr="00606F81" w:rsidRDefault="00606F81" w:rsidP="00100028">
      <w:pPr>
        <w:bidi w:val="0"/>
        <w:jc w:val="both"/>
        <w:rPr>
          <w:rFonts w:asciiTheme="majorBidi" w:hAnsiTheme="majorBidi" w:cstheme="majorBidi"/>
          <w:i/>
          <w:iCs/>
          <w:sz w:val="24"/>
          <w:szCs w:val="24"/>
        </w:rPr>
      </w:pPr>
      <w:r w:rsidRPr="00606F81">
        <w:rPr>
          <w:rFonts w:asciiTheme="majorBidi" w:hAnsiTheme="majorBidi" w:cstheme="majorBidi"/>
          <w:i/>
          <w:iCs/>
          <w:sz w:val="24"/>
          <w:szCs w:val="24"/>
        </w:rPr>
        <w:t>Abstract</w:t>
      </w:r>
    </w:p>
    <w:p w:rsidR="00606F81" w:rsidRDefault="00606F81" w:rsidP="00606F81">
      <w:pPr>
        <w:bidi w:val="0"/>
        <w:jc w:val="both"/>
        <w:rPr>
          <w:rFonts w:asciiTheme="majorBidi" w:hAnsiTheme="majorBidi" w:cstheme="majorBidi"/>
          <w:sz w:val="24"/>
          <w:szCs w:val="24"/>
        </w:rPr>
      </w:pPr>
    </w:p>
    <w:p w:rsidR="00912A21" w:rsidRPr="00E57834" w:rsidRDefault="00DD0CF7" w:rsidP="00F70B32">
      <w:pPr>
        <w:tabs>
          <w:tab w:val="right" w:pos="567"/>
        </w:tabs>
        <w:bidi w:val="0"/>
        <w:jc w:val="both"/>
        <w:rPr>
          <w:rFonts w:asciiTheme="majorBidi" w:hAnsiTheme="majorBidi" w:cstheme="majorBidi"/>
          <w:i/>
          <w:iCs/>
          <w:sz w:val="24"/>
          <w:szCs w:val="24"/>
          <w:lang w:val="en-GB"/>
        </w:rPr>
      </w:pPr>
      <w:r w:rsidRPr="00E57834">
        <w:rPr>
          <w:rFonts w:asciiTheme="majorBidi" w:hAnsiTheme="majorBidi" w:cstheme="majorBidi"/>
          <w:i/>
          <w:iCs/>
          <w:sz w:val="24"/>
          <w:szCs w:val="24"/>
        </w:rPr>
        <w:t xml:space="preserve">This paper attempts to </w:t>
      </w:r>
      <w:r w:rsidR="00606F81" w:rsidRPr="00E57834">
        <w:rPr>
          <w:rFonts w:asciiTheme="majorBidi" w:hAnsiTheme="majorBidi" w:cstheme="majorBidi"/>
          <w:i/>
          <w:iCs/>
          <w:sz w:val="24"/>
          <w:szCs w:val="24"/>
        </w:rPr>
        <w:t>analyze</w:t>
      </w:r>
      <w:r w:rsidRPr="00E57834">
        <w:rPr>
          <w:rFonts w:asciiTheme="majorBidi" w:hAnsiTheme="majorBidi" w:cstheme="majorBidi"/>
          <w:i/>
          <w:iCs/>
          <w:sz w:val="24"/>
          <w:szCs w:val="24"/>
        </w:rPr>
        <w:t xml:space="preserve"> the </w:t>
      </w:r>
      <w:r w:rsidR="00606F81" w:rsidRPr="00E57834">
        <w:rPr>
          <w:rFonts w:asciiTheme="majorBidi" w:hAnsiTheme="majorBidi" w:cstheme="majorBidi"/>
          <w:i/>
          <w:iCs/>
          <w:sz w:val="24"/>
          <w:szCs w:val="24"/>
        </w:rPr>
        <w:t xml:space="preserve">legal </w:t>
      </w:r>
      <w:r w:rsidRPr="00E57834">
        <w:rPr>
          <w:rFonts w:asciiTheme="majorBidi" w:hAnsiTheme="majorBidi" w:cstheme="majorBidi"/>
          <w:i/>
          <w:iCs/>
          <w:sz w:val="24"/>
          <w:szCs w:val="24"/>
        </w:rPr>
        <w:t xml:space="preserve">status of the persons who would be </w:t>
      </w:r>
      <w:r w:rsidR="00F70B32">
        <w:rPr>
          <w:rFonts w:asciiTheme="majorBidi" w:hAnsiTheme="majorBidi" w:cstheme="majorBidi"/>
          <w:i/>
          <w:iCs/>
          <w:sz w:val="24"/>
          <w:szCs w:val="24"/>
        </w:rPr>
        <w:t>eligible</w:t>
      </w:r>
      <w:r w:rsidRPr="00E57834">
        <w:rPr>
          <w:rFonts w:asciiTheme="majorBidi" w:hAnsiTheme="majorBidi" w:cstheme="majorBidi"/>
          <w:i/>
          <w:iCs/>
          <w:sz w:val="24"/>
          <w:szCs w:val="24"/>
        </w:rPr>
        <w:t>, under international law, to acquire the citizenship of the State of Palestine as recognized by the United Nations General assembly on 29 November 2012.</w:t>
      </w:r>
      <w:r w:rsidR="00606F81" w:rsidRPr="00E57834">
        <w:rPr>
          <w:rFonts w:asciiTheme="majorBidi" w:hAnsiTheme="majorBidi" w:cstheme="majorBidi"/>
          <w:i/>
          <w:iCs/>
          <w:sz w:val="24"/>
          <w:szCs w:val="24"/>
        </w:rPr>
        <w:t xml:space="preserve"> </w:t>
      </w:r>
      <w:r w:rsidR="00F70B32">
        <w:rPr>
          <w:rFonts w:asciiTheme="majorBidi" w:hAnsiTheme="majorBidi" w:cstheme="majorBidi"/>
          <w:i/>
          <w:iCs/>
          <w:sz w:val="24"/>
          <w:szCs w:val="24"/>
        </w:rPr>
        <w:t>It</w:t>
      </w:r>
      <w:r w:rsidR="00606F81" w:rsidRPr="00E57834">
        <w:rPr>
          <w:rFonts w:asciiTheme="majorBidi" w:hAnsiTheme="majorBidi" w:cstheme="majorBidi"/>
          <w:i/>
          <w:iCs/>
          <w:sz w:val="24"/>
          <w:szCs w:val="24"/>
        </w:rPr>
        <w:t xml:space="preserve"> offer</w:t>
      </w:r>
      <w:r w:rsidR="00936FE9" w:rsidRPr="00E57834">
        <w:rPr>
          <w:rFonts w:asciiTheme="majorBidi" w:hAnsiTheme="majorBidi" w:cstheme="majorBidi"/>
          <w:i/>
          <w:iCs/>
          <w:sz w:val="24"/>
          <w:szCs w:val="24"/>
        </w:rPr>
        <w:t>s</w:t>
      </w:r>
      <w:r w:rsidR="00606F81" w:rsidRPr="00E57834">
        <w:rPr>
          <w:rFonts w:asciiTheme="majorBidi" w:hAnsiTheme="majorBidi" w:cstheme="majorBidi"/>
          <w:i/>
          <w:iCs/>
          <w:sz w:val="24"/>
          <w:szCs w:val="24"/>
        </w:rPr>
        <w:t xml:space="preserve"> a typology </w:t>
      </w:r>
      <w:r w:rsidR="00936FE9" w:rsidRPr="00E57834">
        <w:rPr>
          <w:rFonts w:asciiTheme="majorBidi" w:hAnsiTheme="majorBidi" w:cstheme="majorBidi"/>
          <w:i/>
          <w:iCs/>
          <w:sz w:val="24"/>
          <w:szCs w:val="24"/>
        </w:rPr>
        <w:t xml:space="preserve">for </w:t>
      </w:r>
      <w:r w:rsidR="00606F81" w:rsidRPr="00E57834">
        <w:rPr>
          <w:rFonts w:asciiTheme="majorBidi" w:hAnsiTheme="majorBidi" w:cstheme="majorBidi"/>
          <w:i/>
          <w:iCs/>
          <w:sz w:val="24"/>
          <w:szCs w:val="24"/>
        </w:rPr>
        <w:t xml:space="preserve">the various groups that are linked, through </w:t>
      </w:r>
      <w:r w:rsidR="00F70B32">
        <w:rPr>
          <w:rFonts w:asciiTheme="majorBidi" w:hAnsiTheme="majorBidi" w:cstheme="majorBidi"/>
          <w:i/>
          <w:iCs/>
          <w:sz w:val="24"/>
          <w:szCs w:val="24"/>
        </w:rPr>
        <w:t xml:space="preserve">the </w:t>
      </w:r>
      <w:r w:rsidR="00606F81" w:rsidRPr="00E57834">
        <w:rPr>
          <w:rFonts w:asciiTheme="majorBidi" w:hAnsiTheme="majorBidi" w:cstheme="majorBidi"/>
          <w:i/>
          <w:iCs/>
          <w:sz w:val="24"/>
          <w:szCs w:val="24"/>
        </w:rPr>
        <w:t>present or former</w:t>
      </w:r>
      <w:r w:rsidR="00936FE9" w:rsidRPr="00E57834">
        <w:rPr>
          <w:rFonts w:asciiTheme="majorBidi" w:hAnsiTheme="majorBidi" w:cstheme="majorBidi"/>
          <w:i/>
          <w:iCs/>
          <w:sz w:val="24"/>
          <w:szCs w:val="24"/>
        </w:rPr>
        <w:t xml:space="preserve"> </w:t>
      </w:r>
      <w:r w:rsidR="00F70B32" w:rsidRPr="00E57834">
        <w:rPr>
          <w:rFonts w:asciiTheme="majorBidi" w:hAnsiTheme="majorBidi" w:cstheme="majorBidi"/>
          <w:i/>
          <w:iCs/>
          <w:sz w:val="24"/>
          <w:szCs w:val="24"/>
        </w:rPr>
        <w:t xml:space="preserve">permanent </w:t>
      </w:r>
      <w:r w:rsidR="00F70B32">
        <w:rPr>
          <w:rFonts w:asciiTheme="majorBidi" w:hAnsiTheme="majorBidi" w:cstheme="majorBidi"/>
          <w:i/>
          <w:iCs/>
          <w:sz w:val="24"/>
          <w:szCs w:val="24"/>
        </w:rPr>
        <w:t>residence</w:t>
      </w:r>
      <w:r w:rsidR="00936FE9" w:rsidRPr="00E57834">
        <w:rPr>
          <w:rFonts w:asciiTheme="majorBidi" w:hAnsiTheme="majorBidi" w:cstheme="majorBidi"/>
          <w:i/>
          <w:iCs/>
          <w:sz w:val="24"/>
          <w:szCs w:val="24"/>
        </w:rPr>
        <w:t xml:space="preserve"> in the West Bank or </w:t>
      </w:r>
      <w:r w:rsidR="00F70B32">
        <w:rPr>
          <w:rFonts w:asciiTheme="majorBidi" w:hAnsiTheme="majorBidi" w:cstheme="majorBidi"/>
          <w:i/>
          <w:iCs/>
          <w:sz w:val="24"/>
          <w:szCs w:val="24"/>
        </w:rPr>
        <w:t xml:space="preserve">the </w:t>
      </w:r>
      <w:r w:rsidR="00936FE9" w:rsidRPr="00E57834">
        <w:rPr>
          <w:rFonts w:asciiTheme="majorBidi" w:hAnsiTheme="majorBidi" w:cstheme="majorBidi"/>
          <w:i/>
          <w:iCs/>
          <w:sz w:val="24"/>
          <w:szCs w:val="24"/>
        </w:rPr>
        <w:t>Gaza Strip.</w:t>
      </w:r>
      <w:r w:rsidR="00912A21" w:rsidRPr="00E57834">
        <w:rPr>
          <w:rFonts w:asciiTheme="majorBidi" w:hAnsiTheme="majorBidi" w:cstheme="majorBidi"/>
          <w:i/>
          <w:iCs/>
          <w:sz w:val="24"/>
          <w:szCs w:val="24"/>
        </w:rPr>
        <w:t xml:space="preserve"> While the current native residents of the West Bank or Gaza would automatically qualify for Palestinian citizenship,</w:t>
      </w:r>
      <w:r w:rsidR="00912A21" w:rsidRPr="00E57834">
        <w:rPr>
          <w:rFonts w:asciiTheme="majorBidi" w:hAnsiTheme="majorBidi" w:cstheme="majorBidi"/>
          <w:i/>
          <w:iCs/>
          <w:sz w:val="24"/>
          <w:szCs w:val="24"/>
          <w:lang w:val="en-GB"/>
        </w:rPr>
        <w:t xml:space="preserve"> other groups who relate to the State of Palestine need careful consideration before acquiring citizenship, including inhabitants of East Jerusalem, refugees who emigrated from the territory of the State of Israel since 1948 and settled in the West Bank or Gaza, West Bankers or Gazans who were expelled from these two areas at any point since </w:t>
      </w:r>
      <w:r w:rsidR="00F70B32">
        <w:rPr>
          <w:rFonts w:asciiTheme="majorBidi" w:hAnsiTheme="majorBidi" w:cstheme="majorBidi"/>
          <w:i/>
          <w:iCs/>
          <w:sz w:val="24"/>
          <w:szCs w:val="24"/>
          <w:lang w:val="en-GB"/>
        </w:rPr>
        <w:t xml:space="preserve">July </w:t>
      </w:r>
      <w:r w:rsidR="00912A21" w:rsidRPr="00E57834">
        <w:rPr>
          <w:rFonts w:asciiTheme="majorBidi" w:hAnsiTheme="majorBidi" w:cstheme="majorBidi"/>
          <w:i/>
          <w:iCs/>
          <w:sz w:val="24"/>
          <w:szCs w:val="24"/>
          <w:lang w:val="en-GB"/>
        </w:rPr>
        <w:t xml:space="preserve">1925 and were prevented by Britain (1917-1948) or by Israel (since </w:t>
      </w:r>
      <w:r w:rsidR="00F70B32">
        <w:rPr>
          <w:rFonts w:asciiTheme="majorBidi" w:hAnsiTheme="majorBidi" w:cstheme="majorBidi"/>
          <w:i/>
          <w:iCs/>
          <w:sz w:val="24"/>
          <w:szCs w:val="24"/>
          <w:lang w:val="en-GB"/>
        </w:rPr>
        <w:t xml:space="preserve">June </w:t>
      </w:r>
      <w:r w:rsidR="00912A21" w:rsidRPr="00E57834">
        <w:rPr>
          <w:rFonts w:asciiTheme="majorBidi" w:hAnsiTheme="majorBidi" w:cstheme="majorBidi"/>
          <w:i/>
          <w:iCs/>
          <w:sz w:val="24"/>
          <w:szCs w:val="24"/>
          <w:lang w:val="en-GB"/>
        </w:rPr>
        <w:t xml:space="preserve">1967) to return, and Jewish-Palestinian natives of the West Bank or Gaza who lost their residence therein since </w:t>
      </w:r>
      <w:r w:rsidR="00F70B32">
        <w:rPr>
          <w:rFonts w:asciiTheme="majorBidi" w:hAnsiTheme="majorBidi" w:cstheme="majorBidi"/>
          <w:i/>
          <w:iCs/>
          <w:sz w:val="24"/>
          <w:szCs w:val="24"/>
          <w:lang w:val="en-GB"/>
        </w:rPr>
        <w:t xml:space="preserve">May </w:t>
      </w:r>
      <w:r w:rsidR="00912A21" w:rsidRPr="00E57834">
        <w:rPr>
          <w:rFonts w:asciiTheme="majorBidi" w:hAnsiTheme="majorBidi" w:cstheme="majorBidi"/>
          <w:i/>
          <w:iCs/>
          <w:sz w:val="24"/>
          <w:szCs w:val="24"/>
          <w:lang w:val="en-GB"/>
        </w:rPr>
        <w:t>1948. The paper provides a framework upon w</w:t>
      </w:r>
      <w:r w:rsidR="00E57834" w:rsidRPr="00E57834">
        <w:rPr>
          <w:rFonts w:asciiTheme="majorBidi" w:hAnsiTheme="majorBidi" w:cstheme="majorBidi"/>
          <w:i/>
          <w:iCs/>
          <w:sz w:val="24"/>
          <w:szCs w:val="24"/>
          <w:lang w:val="en-GB"/>
        </w:rPr>
        <w:t>hich</w:t>
      </w:r>
      <w:r w:rsidR="00912A21" w:rsidRPr="00E57834">
        <w:rPr>
          <w:rFonts w:asciiTheme="majorBidi" w:hAnsiTheme="majorBidi" w:cstheme="majorBidi"/>
          <w:i/>
          <w:iCs/>
          <w:sz w:val="24"/>
          <w:szCs w:val="24"/>
          <w:lang w:val="en-GB"/>
        </w:rPr>
        <w:t xml:space="preserve"> the citizenship law of the State of Palestine might be based.</w:t>
      </w:r>
    </w:p>
    <w:p w:rsidR="00A52788" w:rsidRDefault="00912A21" w:rsidP="00606F81">
      <w:pPr>
        <w:bidi w:val="0"/>
        <w:jc w:val="both"/>
        <w:rPr>
          <w:rFonts w:asciiTheme="majorBidi" w:hAnsiTheme="majorBidi" w:cstheme="majorBidi"/>
          <w:sz w:val="24"/>
          <w:szCs w:val="24"/>
        </w:rPr>
      </w:pPr>
      <w:r>
        <w:rPr>
          <w:rFonts w:asciiTheme="majorBidi" w:hAnsiTheme="majorBidi" w:cstheme="majorBidi"/>
          <w:sz w:val="24"/>
          <w:szCs w:val="24"/>
        </w:rPr>
        <w:t xml:space="preserve"> </w:t>
      </w:r>
      <w:r w:rsidR="00606F81">
        <w:rPr>
          <w:rFonts w:asciiTheme="majorBidi" w:hAnsiTheme="majorBidi" w:cstheme="majorBidi"/>
          <w:sz w:val="24"/>
          <w:szCs w:val="24"/>
        </w:rPr>
        <w:t xml:space="preserve">     </w:t>
      </w:r>
      <w:r w:rsidR="00DD0CF7">
        <w:rPr>
          <w:rFonts w:asciiTheme="majorBidi" w:hAnsiTheme="majorBidi" w:cstheme="majorBidi"/>
          <w:sz w:val="24"/>
          <w:szCs w:val="24"/>
        </w:rPr>
        <w:t xml:space="preserve"> </w:t>
      </w:r>
    </w:p>
    <w:p w:rsidR="00DD0CF7" w:rsidRPr="00100028" w:rsidRDefault="00DD0CF7" w:rsidP="00DD0CF7">
      <w:pPr>
        <w:bidi w:val="0"/>
        <w:jc w:val="both"/>
        <w:rPr>
          <w:rFonts w:asciiTheme="majorBidi" w:hAnsiTheme="majorBidi" w:cstheme="majorBidi"/>
          <w:sz w:val="24"/>
          <w:szCs w:val="24"/>
        </w:rPr>
      </w:pPr>
    </w:p>
    <w:p w:rsidR="00A52788" w:rsidRPr="00100028" w:rsidRDefault="00A52788" w:rsidP="00100028">
      <w:pPr>
        <w:bidi w:val="0"/>
        <w:jc w:val="both"/>
        <w:rPr>
          <w:rFonts w:asciiTheme="majorBidi" w:hAnsiTheme="majorBidi" w:cstheme="majorBidi"/>
          <w:b/>
          <w:bCs/>
          <w:sz w:val="24"/>
          <w:szCs w:val="24"/>
          <w:lang w:val="en-GB"/>
        </w:rPr>
      </w:pPr>
      <w:r w:rsidRPr="00100028">
        <w:rPr>
          <w:rFonts w:asciiTheme="majorBidi" w:hAnsiTheme="majorBidi" w:cstheme="majorBidi"/>
          <w:b/>
          <w:bCs/>
          <w:sz w:val="24"/>
          <w:szCs w:val="24"/>
          <w:lang w:val="en-GB"/>
        </w:rPr>
        <w:t>Introduction</w:t>
      </w:r>
    </w:p>
    <w:p w:rsidR="00A52788" w:rsidRPr="00100028" w:rsidRDefault="00A52788" w:rsidP="00100028">
      <w:pPr>
        <w:bidi w:val="0"/>
        <w:jc w:val="both"/>
        <w:rPr>
          <w:rFonts w:asciiTheme="majorBidi" w:hAnsiTheme="majorBidi" w:cstheme="majorBidi"/>
          <w:sz w:val="24"/>
          <w:szCs w:val="24"/>
          <w:lang w:val="en-GB"/>
        </w:rPr>
      </w:pPr>
    </w:p>
    <w:p w:rsidR="00846891" w:rsidRPr="00100028" w:rsidRDefault="00846891"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On 29 Novembe</w:t>
      </w:r>
      <w:r w:rsidR="00DF1667" w:rsidRPr="00100028">
        <w:rPr>
          <w:rFonts w:asciiTheme="majorBidi" w:hAnsiTheme="majorBidi" w:cstheme="majorBidi"/>
          <w:sz w:val="24"/>
          <w:szCs w:val="24"/>
          <w:lang w:val="en-GB"/>
        </w:rPr>
        <w:t>r 2012, Palestine became</w:t>
      </w:r>
      <w:r w:rsidRPr="00100028">
        <w:rPr>
          <w:rFonts w:asciiTheme="majorBidi" w:hAnsiTheme="majorBidi" w:cstheme="majorBidi"/>
          <w:sz w:val="24"/>
          <w:szCs w:val="24"/>
          <w:lang w:val="en-GB"/>
        </w:rPr>
        <w:t xml:space="preserve"> </w:t>
      </w:r>
      <w:r w:rsidR="00DF1667" w:rsidRPr="00100028">
        <w:rPr>
          <w:rFonts w:asciiTheme="majorBidi" w:hAnsiTheme="majorBidi" w:cstheme="majorBidi"/>
          <w:sz w:val="24"/>
          <w:szCs w:val="24"/>
          <w:lang w:val="en-GB"/>
        </w:rPr>
        <w:t xml:space="preserve">a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 xml:space="preserve"> </w:t>
      </w:r>
      <w:r w:rsidR="00DF1667" w:rsidRPr="00100028">
        <w:rPr>
          <w:rFonts w:asciiTheme="majorBidi" w:hAnsiTheme="majorBidi" w:cstheme="majorBidi"/>
          <w:sz w:val="24"/>
          <w:szCs w:val="24"/>
          <w:lang w:val="en-GB"/>
        </w:rPr>
        <w:t xml:space="preserve">recognized </w:t>
      </w:r>
      <w:r w:rsidRPr="00100028">
        <w:rPr>
          <w:rFonts w:asciiTheme="majorBidi" w:hAnsiTheme="majorBidi" w:cstheme="majorBidi"/>
          <w:sz w:val="24"/>
          <w:szCs w:val="24"/>
          <w:lang w:val="en-GB"/>
        </w:rPr>
        <w:t>by the United Nations</w:t>
      </w:r>
      <w:r w:rsidR="00F861A2" w:rsidRPr="00100028">
        <w:rPr>
          <w:rFonts w:asciiTheme="majorBidi" w:hAnsiTheme="majorBidi" w:cstheme="majorBidi"/>
          <w:sz w:val="24"/>
          <w:szCs w:val="24"/>
          <w:lang w:val="en-GB"/>
        </w:rPr>
        <w:t xml:space="preserve"> (UN)</w:t>
      </w:r>
      <w:r w:rsidRPr="00100028">
        <w:rPr>
          <w:rFonts w:asciiTheme="majorBidi" w:hAnsiTheme="majorBidi" w:cstheme="majorBidi"/>
          <w:sz w:val="24"/>
          <w:szCs w:val="24"/>
          <w:lang w:val="en-GB"/>
        </w:rPr>
        <w:t xml:space="preserve"> General Assembly</w:t>
      </w:r>
      <w:r w:rsidR="00DF1667" w:rsidRPr="00100028">
        <w:rPr>
          <w:rFonts w:asciiTheme="majorBidi" w:hAnsiTheme="majorBidi" w:cstheme="majorBidi"/>
          <w:sz w:val="24"/>
          <w:szCs w:val="24"/>
          <w:lang w:val="en-GB"/>
        </w:rPr>
        <w:t xml:space="preserve"> and by most </w:t>
      </w:r>
      <w:r w:rsidR="00FE2B16" w:rsidRPr="00100028">
        <w:rPr>
          <w:rFonts w:asciiTheme="majorBidi" w:hAnsiTheme="majorBidi" w:cstheme="majorBidi"/>
          <w:sz w:val="24"/>
          <w:szCs w:val="24"/>
          <w:lang w:val="en-GB"/>
        </w:rPr>
        <w:t>State</w:t>
      </w:r>
      <w:r w:rsidR="00DF1667" w:rsidRPr="00100028">
        <w:rPr>
          <w:rFonts w:asciiTheme="majorBidi" w:hAnsiTheme="majorBidi" w:cstheme="majorBidi"/>
          <w:sz w:val="24"/>
          <w:szCs w:val="24"/>
          <w:lang w:val="en-GB"/>
        </w:rPr>
        <w:t>s of the world</w:t>
      </w:r>
      <w:r w:rsidRPr="00100028">
        <w:rPr>
          <w:rFonts w:asciiTheme="majorBidi" w:hAnsiTheme="majorBidi" w:cstheme="majorBidi"/>
          <w:sz w:val="24"/>
          <w:szCs w:val="24"/>
          <w:lang w:val="en-GB"/>
        </w:rPr>
        <w:t>.</w:t>
      </w:r>
      <w:r w:rsidR="00DF1667" w:rsidRPr="00100028">
        <w:rPr>
          <w:rFonts w:asciiTheme="majorBidi" w:hAnsiTheme="majorBidi" w:cstheme="majorBidi"/>
          <w:color w:val="000000" w:themeColor="text1"/>
          <w:sz w:val="24"/>
          <w:szCs w:val="24"/>
          <w:vertAlign w:val="superscript"/>
          <w:lang w:val="en-GB" w:bidi="ar-SA"/>
        </w:rPr>
        <w:footnoteReference w:id="1"/>
      </w:r>
      <w:r w:rsidRPr="00100028">
        <w:rPr>
          <w:rFonts w:asciiTheme="majorBidi" w:hAnsiTheme="majorBidi" w:cstheme="majorBidi"/>
          <w:sz w:val="24"/>
          <w:szCs w:val="24"/>
          <w:lang w:val="en-GB"/>
        </w:rPr>
        <w:t xml:space="preserve"> This new status gives Palestine a s</w:t>
      </w:r>
      <w:r w:rsidR="00E74696" w:rsidRPr="00100028">
        <w:rPr>
          <w:rFonts w:asciiTheme="majorBidi" w:hAnsiTheme="majorBidi" w:cstheme="majorBidi"/>
          <w:sz w:val="24"/>
          <w:szCs w:val="24"/>
          <w:lang w:val="en-GB"/>
        </w:rPr>
        <w:t>et of rights, including accessing</w:t>
      </w:r>
      <w:r w:rsidRPr="00100028">
        <w:rPr>
          <w:rFonts w:asciiTheme="majorBidi" w:hAnsiTheme="majorBidi" w:cstheme="majorBidi"/>
          <w:sz w:val="24"/>
          <w:szCs w:val="24"/>
          <w:lang w:val="en-GB"/>
        </w:rPr>
        <w:t xml:space="preserve"> </w:t>
      </w:r>
      <w:r w:rsidR="00DF1667" w:rsidRPr="00100028">
        <w:rPr>
          <w:rFonts w:asciiTheme="majorBidi" w:hAnsiTheme="majorBidi" w:cstheme="majorBidi"/>
          <w:sz w:val="24"/>
          <w:szCs w:val="24"/>
          <w:lang w:val="en-GB"/>
        </w:rPr>
        <w:t xml:space="preserve">a </w:t>
      </w:r>
      <w:r w:rsidRPr="00100028">
        <w:rPr>
          <w:rFonts w:asciiTheme="majorBidi" w:hAnsiTheme="majorBidi" w:cstheme="majorBidi"/>
          <w:sz w:val="24"/>
          <w:szCs w:val="24"/>
          <w:lang w:val="en-GB"/>
        </w:rPr>
        <w:t>member of inter</w:t>
      </w:r>
      <w:r w:rsidR="00DF1667" w:rsidRPr="00100028">
        <w:rPr>
          <w:rFonts w:asciiTheme="majorBidi" w:hAnsiTheme="majorBidi" w:cstheme="majorBidi"/>
          <w:sz w:val="24"/>
          <w:szCs w:val="24"/>
          <w:lang w:val="en-GB"/>
        </w:rPr>
        <w:t>national organizations,</w:t>
      </w:r>
      <w:r w:rsidRPr="00100028">
        <w:rPr>
          <w:rFonts w:asciiTheme="majorBidi" w:hAnsiTheme="majorBidi" w:cstheme="majorBidi"/>
          <w:sz w:val="24"/>
          <w:szCs w:val="24"/>
          <w:lang w:val="en-GB"/>
        </w:rPr>
        <w:t xml:space="preserve"> </w:t>
      </w:r>
      <w:r w:rsidR="00DF1667" w:rsidRPr="00100028">
        <w:rPr>
          <w:rFonts w:asciiTheme="majorBidi" w:hAnsiTheme="majorBidi" w:cstheme="majorBidi"/>
          <w:sz w:val="24"/>
          <w:szCs w:val="24"/>
          <w:lang w:val="en-GB"/>
        </w:rPr>
        <w:t>joining universal</w:t>
      </w:r>
      <w:r w:rsidRPr="00100028">
        <w:rPr>
          <w:rFonts w:asciiTheme="majorBidi" w:hAnsiTheme="majorBidi" w:cstheme="majorBidi"/>
          <w:sz w:val="24"/>
          <w:szCs w:val="24"/>
          <w:lang w:val="en-GB"/>
        </w:rPr>
        <w:t xml:space="preserve"> treaties, opening embassies, and protecting citizens abroad.</w:t>
      </w:r>
      <w:r w:rsidR="00CA2CFE" w:rsidRPr="00100028">
        <w:rPr>
          <w:rFonts w:asciiTheme="majorBidi" w:hAnsiTheme="majorBidi" w:cstheme="majorBidi"/>
          <w:sz w:val="24"/>
          <w:szCs w:val="24"/>
          <w:lang w:val="en-GB"/>
        </w:rPr>
        <w:t xml:space="preserve"> In indeed, Palestine has joined a number of institutions including U</w:t>
      </w:r>
      <w:r w:rsidR="00F861A2" w:rsidRPr="00100028">
        <w:rPr>
          <w:rFonts w:asciiTheme="majorBidi" w:hAnsiTheme="majorBidi" w:cstheme="majorBidi"/>
          <w:sz w:val="24"/>
          <w:szCs w:val="24"/>
          <w:lang w:val="en-GB"/>
        </w:rPr>
        <w:t>N</w:t>
      </w:r>
      <w:r w:rsidR="005868AD" w:rsidRPr="00100028">
        <w:rPr>
          <w:rFonts w:asciiTheme="majorBidi" w:hAnsiTheme="majorBidi" w:cstheme="majorBidi"/>
          <w:sz w:val="24"/>
          <w:szCs w:val="24"/>
          <w:lang w:val="en-GB"/>
        </w:rPr>
        <w:t xml:space="preserve"> </w:t>
      </w:r>
      <w:r w:rsidR="00CA2CFE" w:rsidRPr="00100028">
        <w:rPr>
          <w:rFonts w:asciiTheme="majorBidi" w:hAnsiTheme="majorBidi" w:cstheme="majorBidi"/>
          <w:sz w:val="24"/>
          <w:szCs w:val="24"/>
          <w:lang w:val="en-GB"/>
        </w:rPr>
        <w:t>E</w:t>
      </w:r>
      <w:r w:rsidR="005868AD" w:rsidRPr="00100028">
        <w:rPr>
          <w:rFonts w:asciiTheme="majorBidi" w:hAnsiTheme="majorBidi" w:cstheme="majorBidi"/>
          <w:sz w:val="24"/>
          <w:szCs w:val="24"/>
          <w:lang w:val="en-GB"/>
        </w:rPr>
        <w:t xml:space="preserve">ducational Scientific and </w:t>
      </w:r>
      <w:r w:rsidR="00CA2CFE" w:rsidRPr="00100028">
        <w:rPr>
          <w:rFonts w:asciiTheme="majorBidi" w:hAnsiTheme="majorBidi" w:cstheme="majorBidi"/>
          <w:sz w:val="24"/>
          <w:szCs w:val="24"/>
          <w:lang w:val="en-GB"/>
        </w:rPr>
        <w:t>C</w:t>
      </w:r>
      <w:r w:rsidR="005868AD" w:rsidRPr="00100028">
        <w:rPr>
          <w:rFonts w:asciiTheme="majorBidi" w:hAnsiTheme="majorBidi" w:cstheme="majorBidi"/>
          <w:sz w:val="24"/>
          <w:szCs w:val="24"/>
          <w:lang w:val="en-GB"/>
        </w:rPr>
        <w:t xml:space="preserve">ultural </w:t>
      </w:r>
      <w:r w:rsidR="00CA2CFE" w:rsidRPr="00100028">
        <w:rPr>
          <w:rFonts w:asciiTheme="majorBidi" w:hAnsiTheme="majorBidi" w:cstheme="majorBidi"/>
          <w:sz w:val="24"/>
          <w:szCs w:val="24"/>
          <w:lang w:val="en-GB"/>
        </w:rPr>
        <w:t>O</w:t>
      </w:r>
      <w:r w:rsidR="005868AD" w:rsidRPr="00100028">
        <w:rPr>
          <w:rFonts w:asciiTheme="majorBidi" w:hAnsiTheme="majorBidi" w:cstheme="majorBidi"/>
          <w:sz w:val="24"/>
          <w:szCs w:val="24"/>
          <w:lang w:val="en-GB"/>
        </w:rPr>
        <w:t>rganization</w:t>
      </w:r>
      <w:r w:rsidR="00CA2CFE" w:rsidRPr="00100028">
        <w:rPr>
          <w:rFonts w:asciiTheme="majorBidi" w:hAnsiTheme="majorBidi" w:cstheme="majorBidi"/>
          <w:sz w:val="24"/>
          <w:szCs w:val="24"/>
          <w:lang w:val="en-GB"/>
        </w:rPr>
        <w:t xml:space="preserve"> </w:t>
      </w:r>
      <w:r w:rsidR="00DF1667" w:rsidRPr="00100028">
        <w:rPr>
          <w:rFonts w:asciiTheme="majorBidi" w:hAnsiTheme="majorBidi" w:cstheme="majorBidi"/>
          <w:sz w:val="24"/>
          <w:szCs w:val="24"/>
          <w:lang w:val="en-GB"/>
        </w:rPr>
        <w:t>(UNESCO),</w:t>
      </w:r>
      <w:r w:rsidR="00DF1667" w:rsidRPr="00100028">
        <w:rPr>
          <w:rStyle w:val="FootnoteReference"/>
          <w:rFonts w:asciiTheme="majorBidi" w:hAnsiTheme="majorBidi" w:cstheme="majorBidi"/>
          <w:sz w:val="24"/>
          <w:szCs w:val="24"/>
          <w:lang w:val="en-GB"/>
        </w:rPr>
        <w:footnoteReference w:id="2"/>
      </w:r>
      <w:r w:rsidR="00DF1667" w:rsidRPr="00100028">
        <w:rPr>
          <w:rFonts w:asciiTheme="majorBidi" w:hAnsiTheme="majorBidi" w:cstheme="majorBidi"/>
          <w:sz w:val="24"/>
          <w:szCs w:val="24"/>
          <w:lang w:val="en-GB"/>
        </w:rPr>
        <w:t xml:space="preserve"> </w:t>
      </w:r>
      <w:r w:rsidR="00CA2CFE" w:rsidRPr="00100028">
        <w:rPr>
          <w:rFonts w:asciiTheme="majorBidi" w:hAnsiTheme="majorBidi" w:cstheme="majorBidi"/>
          <w:sz w:val="24"/>
          <w:szCs w:val="24"/>
          <w:lang w:val="en-GB"/>
        </w:rPr>
        <w:t>and the Inter</w:t>
      </w:r>
      <w:r w:rsidR="005868AD" w:rsidRPr="00100028">
        <w:rPr>
          <w:rFonts w:asciiTheme="majorBidi" w:hAnsiTheme="majorBidi" w:cstheme="majorBidi"/>
          <w:sz w:val="24"/>
          <w:szCs w:val="24"/>
          <w:lang w:val="en-GB"/>
        </w:rPr>
        <w:t>national Criminal Court</w:t>
      </w:r>
      <w:r w:rsidR="00DF1667" w:rsidRPr="00100028">
        <w:rPr>
          <w:rFonts w:asciiTheme="majorBidi" w:hAnsiTheme="majorBidi" w:cstheme="majorBidi"/>
          <w:sz w:val="24"/>
          <w:szCs w:val="24"/>
          <w:lang w:val="en-GB"/>
        </w:rPr>
        <w:t xml:space="preserve"> (ICC)</w:t>
      </w:r>
      <w:r w:rsidR="005868AD" w:rsidRPr="00100028">
        <w:rPr>
          <w:rFonts w:asciiTheme="majorBidi" w:hAnsiTheme="majorBidi" w:cstheme="majorBidi"/>
          <w:sz w:val="24"/>
          <w:szCs w:val="24"/>
          <w:lang w:val="en-GB"/>
        </w:rPr>
        <w:t>.</w:t>
      </w:r>
      <w:r w:rsidR="00DF1667" w:rsidRPr="00100028">
        <w:rPr>
          <w:rFonts w:asciiTheme="majorBidi" w:hAnsiTheme="majorBidi" w:cstheme="majorBidi"/>
          <w:color w:val="000000" w:themeColor="text1"/>
          <w:sz w:val="24"/>
          <w:szCs w:val="24"/>
          <w:vertAlign w:val="superscript"/>
          <w:lang w:val="en-GB" w:bidi="ar-SA"/>
        </w:rPr>
        <w:footnoteReference w:id="3"/>
      </w:r>
      <w:r w:rsidR="005868AD" w:rsidRPr="00100028">
        <w:rPr>
          <w:rFonts w:asciiTheme="majorBidi" w:hAnsiTheme="majorBidi" w:cstheme="majorBidi"/>
          <w:sz w:val="24"/>
          <w:szCs w:val="24"/>
          <w:lang w:val="en-GB"/>
        </w:rPr>
        <w:t xml:space="preserve"> It</w:t>
      </w:r>
      <w:r w:rsidR="00CA2CFE" w:rsidRPr="00100028">
        <w:rPr>
          <w:rFonts w:asciiTheme="majorBidi" w:hAnsiTheme="majorBidi" w:cstheme="majorBidi"/>
          <w:sz w:val="24"/>
          <w:szCs w:val="24"/>
          <w:lang w:val="en-GB"/>
        </w:rPr>
        <w:t xml:space="preserve"> acceded </w:t>
      </w:r>
      <w:r w:rsidR="00F861A2" w:rsidRPr="00100028">
        <w:rPr>
          <w:rFonts w:asciiTheme="majorBidi" w:hAnsiTheme="majorBidi" w:cstheme="majorBidi"/>
          <w:sz w:val="24"/>
          <w:szCs w:val="24"/>
          <w:lang w:val="en-GB"/>
        </w:rPr>
        <w:t xml:space="preserve">to </w:t>
      </w:r>
      <w:r w:rsidR="00CA2CFE" w:rsidRPr="00100028">
        <w:rPr>
          <w:rFonts w:asciiTheme="majorBidi" w:hAnsiTheme="majorBidi" w:cstheme="majorBidi"/>
          <w:sz w:val="24"/>
          <w:szCs w:val="24"/>
          <w:lang w:val="en-GB"/>
        </w:rPr>
        <w:t>dozens of treaties, including seven core human rights conventions and Geneva c</w:t>
      </w:r>
      <w:r w:rsidR="00E74696" w:rsidRPr="00100028">
        <w:rPr>
          <w:rFonts w:asciiTheme="majorBidi" w:hAnsiTheme="majorBidi" w:cstheme="majorBidi"/>
          <w:sz w:val="24"/>
          <w:szCs w:val="24"/>
          <w:lang w:val="en-GB"/>
        </w:rPr>
        <w:t xml:space="preserve">onventions </w:t>
      </w:r>
      <w:r w:rsidR="005868AD" w:rsidRPr="00100028">
        <w:rPr>
          <w:rFonts w:asciiTheme="majorBidi" w:hAnsiTheme="majorBidi" w:cstheme="majorBidi"/>
          <w:sz w:val="24"/>
          <w:szCs w:val="24"/>
          <w:lang w:val="en-GB"/>
        </w:rPr>
        <w:t>on the</w:t>
      </w:r>
      <w:r w:rsidR="00CA2CFE" w:rsidRPr="00100028">
        <w:rPr>
          <w:rFonts w:asciiTheme="majorBidi" w:hAnsiTheme="majorBidi" w:cstheme="majorBidi"/>
          <w:sz w:val="24"/>
          <w:szCs w:val="24"/>
          <w:lang w:val="en-GB"/>
        </w:rPr>
        <w:t xml:space="preserve"> </w:t>
      </w:r>
      <w:r w:rsidR="00E74696" w:rsidRPr="00100028">
        <w:rPr>
          <w:rFonts w:asciiTheme="majorBidi" w:hAnsiTheme="majorBidi" w:cstheme="majorBidi"/>
          <w:sz w:val="24"/>
          <w:szCs w:val="24"/>
          <w:lang w:val="en-GB"/>
        </w:rPr>
        <w:t xml:space="preserve">international </w:t>
      </w:r>
      <w:r w:rsidR="00CA2CFE" w:rsidRPr="00100028">
        <w:rPr>
          <w:rFonts w:asciiTheme="majorBidi" w:hAnsiTheme="majorBidi" w:cstheme="majorBidi"/>
          <w:sz w:val="24"/>
          <w:szCs w:val="24"/>
          <w:lang w:val="en-GB"/>
        </w:rPr>
        <w:t>humanitarian law.</w:t>
      </w:r>
      <w:r w:rsidR="00CF277A" w:rsidRPr="00100028">
        <w:rPr>
          <w:rFonts w:asciiTheme="majorBidi" w:hAnsiTheme="majorBidi" w:cstheme="majorBidi"/>
          <w:color w:val="000000" w:themeColor="text1"/>
          <w:sz w:val="24"/>
          <w:szCs w:val="24"/>
          <w:vertAlign w:val="superscript"/>
          <w:lang w:val="en-GB" w:bidi="ar-SA"/>
        </w:rPr>
        <w:footnoteReference w:id="4"/>
      </w:r>
    </w:p>
    <w:bookmarkEnd w:id="0"/>
    <w:p w:rsidR="00CA2CFE" w:rsidRPr="00100028" w:rsidRDefault="00CA2CFE" w:rsidP="00100028">
      <w:pPr>
        <w:bidi w:val="0"/>
        <w:jc w:val="both"/>
        <w:rPr>
          <w:rFonts w:asciiTheme="majorBidi" w:hAnsiTheme="majorBidi" w:cstheme="majorBidi"/>
          <w:sz w:val="24"/>
          <w:szCs w:val="24"/>
          <w:lang w:val="en-GB"/>
        </w:rPr>
      </w:pPr>
    </w:p>
    <w:p w:rsidR="00CA2CFE" w:rsidRPr="00100028" w:rsidRDefault="00F861A2"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lastRenderedPageBreak/>
        <w:t>Within the efforts of Palestine to strengthen</w:t>
      </w:r>
      <w:r w:rsidR="005868AD" w:rsidRPr="00100028">
        <w:rPr>
          <w:rFonts w:asciiTheme="majorBidi" w:hAnsiTheme="majorBidi" w:cstheme="majorBidi"/>
          <w:sz w:val="24"/>
          <w:szCs w:val="24"/>
          <w:lang w:val="en-GB"/>
        </w:rPr>
        <w:t xml:space="preserve"> its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-building</w:t>
      </w:r>
      <w:r w:rsidR="00CF277A" w:rsidRPr="00100028">
        <w:rPr>
          <w:rFonts w:asciiTheme="majorBidi" w:hAnsiTheme="majorBidi" w:cstheme="majorBidi"/>
          <w:sz w:val="24"/>
          <w:szCs w:val="24"/>
          <w:lang w:val="en-GB"/>
        </w:rPr>
        <w:t>,</w:t>
      </w:r>
      <w:r w:rsidR="005868AD" w:rsidRPr="00100028">
        <w:rPr>
          <w:rFonts w:asciiTheme="majorBidi" w:hAnsiTheme="majorBidi" w:cstheme="majorBidi"/>
          <w:sz w:val="24"/>
          <w:szCs w:val="24"/>
          <w:lang w:val="en-GB"/>
        </w:rPr>
        <w:t xml:space="preserve"> it </w:t>
      </w:r>
      <w:r w:rsidR="00E74696" w:rsidRPr="00100028">
        <w:rPr>
          <w:rFonts w:asciiTheme="majorBidi" w:hAnsiTheme="majorBidi" w:cstheme="majorBidi"/>
          <w:sz w:val="24"/>
          <w:szCs w:val="24"/>
          <w:lang w:val="en-GB"/>
        </w:rPr>
        <w:t>seeks to embrace</w:t>
      </w:r>
      <w:r w:rsidR="005868AD" w:rsidRPr="00100028">
        <w:rPr>
          <w:rFonts w:asciiTheme="majorBidi" w:hAnsiTheme="majorBidi" w:cstheme="majorBidi"/>
          <w:sz w:val="24"/>
          <w:szCs w:val="24"/>
          <w:lang w:val="en-GB"/>
        </w:rPr>
        <w:t xml:space="preserve"> a series of measures at the national level, including forming a constitution, building institutions, </w:t>
      </w:r>
      <w:r w:rsidR="00CF277A" w:rsidRPr="00100028">
        <w:rPr>
          <w:rFonts w:asciiTheme="majorBidi" w:hAnsiTheme="majorBidi" w:cstheme="majorBidi"/>
          <w:sz w:val="24"/>
          <w:szCs w:val="24"/>
          <w:lang w:val="en-GB"/>
        </w:rPr>
        <w:t xml:space="preserve">reforming its legislation, </w:t>
      </w:r>
      <w:r w:rsidR="005868AD" w:rsidRPr="00100028">
        <w:rPr>
          <w:rFonts w:asciiTheme="majorBidi" w:hAnsiTheme="majorBidi" w:cstheme="majorBidi"/>
          <w:sz w:val="24"/>
          <w:szCs w:val="24"/>
          <w:lang w:val="en-GB"/>
        </w:rPr>
        <w:t xml:space="preserve">and defining its citizens. In 2012, an attempt was made by the Palestine Liberation Organization </w:t>
      </w:r>
      <w:r w:rsidR="00CF277A" w:rsidRPr="00100028">
        <w:rPr>
          <w:rFonts w:asciiTheme="majorBidi" w:hAnsiTheme="majorBidi" w:cstheme="majorBidi"/>
          <w:sz w:val="24"/>
          <w:szCs w:val="24"/>
          <w:lang w:val="en-GB"/>
        </w:rPr>
        <w:t>(PLO) to draft a citizenship</w:t>
      </w:r>
      <w:r w:rsidR="005868AD" w:rsidRPr="00100028">
        <w:rPr>
          <w:rFonts w:asciiTheme="majorBidi" w:hAnsiTheme="majorBidi" w:cstheme="majorBidi"/>
          <w:sz w:val="24"/>
          <w:szCs w:val="24"/>
          <w:lang w:val="en-GB"/>
        </w:rPr>
        <w:t xml:space="preserve"> law. The initiative was short-lived due to ramificati</w:t>
      </w:r>
      <w:r w:rsidRPr="00100028">
        <w:rPr>
          <w:rFonts w:asciiTheme="majorBidi" w:hAnsiTheme="majorBidi" w:cstheme="majorBidi"/>
          <w:sz w:val="24"/>
          <w:szCs w:val="24"/>
          <w:lang w:val="en-GB"/>
        </w:rPr>
        <w:t>ons attached to those who</w:t>
      </w:r>
      <w:r w:rsidR="002F0AAF" w:rsidRPr="00100028">
        <w:rPr>
          <w:rFonts w:asciiTheme="majorBidi" w:hAnsiTheme="majorBidi" w:cstheme="majorBidi"/>
          <w:sz w:val="24"/>
          <w:szCs w:val="24"/>
          <w:lang w:val="en-GB"/>
        </w:rPr>
        <w:t xml:space="preserve"> </w:t>
      </w:r>
      <w:r w:rsidRPr="00100028">
        <w:rPr>
          <w:rFonts w:asciiTheme="majorBidi" w:hAnsiTheme="majorBidi" w:cstheme="majorBidi"/>
          <w:sz w:val="24"/>
          <w:szCs w:val="24"/>
          <w:lang w:val="en-GB"/>
        </w:rPr>
        <w:t xml:space="preserve">may </w:t>
      </w:r>
      <w:r w:rsidR="002F0AAF" w:rsidRPr="00100028">
        <w:rPr>
          <w:rFonts w:asciiTheme="majorBidi" w:hAnsiTheme="majorBidi" w:cstheme="majorBidi"/>
          <w:sz w:val="24"/>
          <w:szCs w:val="24"/>
          <w:lang w:val="en-GB"/>
        </w:rPr>
        <w:t>qua</w:t>
      </w:r>
      <w:r w:rsidRPr="00100028">
        <w:rPr>
          <w:rFonts w:asciiTheme="majorBidi" w:hAnsiTheme="majorBidi" w:cstheme="majorBidi"/>
          <w:sz w:val="24"/>
          <w:szCs w:val="24"/>
          <w:lang w:val="en-GB"/>
        </w:rPr>
        <w:t>lify as</w:t>
      </w:r>
      <w:r w:rsidR="00CF277A" w:rsidRPr="00100028">
        <w:rPr>
          <w:rFonts w:asciiTheme="majorBidi" w:hAnsiTheme="majorBidi" w:cstheme="majorBidi"/>
          <w:sz w:val="24"/>
          <w:szCs w:val="24"/>
          <w:lang w:val="en-GB"/>
        </w:rPr>
        <w:t xml:space="preserve"> citizen</w:t>
      </w:r>
      <w:r w:rsidRPr="00100028">
        <w:rPr>
          <w:rFonts w:asciiTheme="majorBidi" w:hAnsiTheme="majorBidi" w:cstheme="majorBidi"/>
          <w:sz w:val="24"/>
          <w:szCs w:val="24"/>
          <w:lang w:val="en-GB"/>
        </w:rPr>
        <w:t>s</w:t>
      </w:r>
      <w:r w:rsidR="00CF277A" w:rsidRPr="00100028">
        <w:rPr>
          <w:rFonts w:asciiTheme="majorBidi" w:hAnsiTheme="majorBidi" w:cstheme="majorBidi"/>
          <w:sz w:val="24"/>
          <w:szCs w:val="24"/>
          <w:lang w:val="en-GB"/>
        </w:rPr>
        <w:t>, implications on</w:t>
      </w:r>
      <w:r w:rsidR="002F0AAF" w:rsidRPr="00100028">
        <w:rPr>
          <w:rFonts w:asciiTheme="majorBidi" w:hAnsiTheme="majorBidi" w:cstheme="majorBidi"/>
          <w:sz w:val="24"/>
          <w:szCs w:val="24"/>
          <w:lang w:val="en-GB"/>
        </w:rPr>
        <w:t xml:space="preserve"> the status of Palestinian refugees and the right of return, diplomatic protection, civil and political rights, and residency</w:t>
      </w:r>
      <w:r w:rsidRPr="00100028">
        <w:rPr>
          <w:rFonts w:asciiTheme="majorBidi" w:hAnsiTheme="majorBidi" w:cstheme="majorBidi"/>
          <w:sz w:val="24"/>
          <w:szCs w:val="24"/>
          <w:lang w:val="en-GB"/>
        </w:rPr>
        <w:t xml:space="preserve"> in the West Bank and Gaza</w:t>
      </w:r>
      <w:r w:rsidR="002F0AAF" w:rsidRPr="00100028">
        <w:rPr>
          <w:rFonts w:asciiTheme="majorBidi" w:hAnsiTheme="majorBidi" w:cstheme="majorBidi"/>
          <w:sz w:val="24"/>
          <w:szCs w:val="24"/>
          <w:lang w:val="en-GB"/>
        </w:rPr>
        <w:t xml:space="preserve"> as well as in East Jerusalem, entry </w:t>
      </w:r>
      <w:r w:rsidR="00E74696" w:rsidRPr="00100028">
        <w:rPr>
          <w:rFonts w:asciiTheme="majorBidi" w:hAnsiTheme="majorBidi" w:cstheme="majorBidi"/>
          <w:sz w:val="24"/>
          <w:szCs w:val="24"/>
          <w:lang w:val="en-GB"/>
        </w:rPr>
        <w:t>in</w:t>
      </w:r>
      <w:r w:rsidR="002F0AAF" w:rsidRPr="00100028">
        <w:rPr>
          <w:rFonts w:asciiTheme="majorBidi" w:hAnsiTheme="majorBidi" w:cstheme="majorBidi"/>
          <w:sz w:val="24"/>
          <w:szCs w:val="24"/>
          <w:lang w:val="en-GB"/>
        </w:rPr>
        <w:t xml:space="preserve">to the country while under occupation, travel, passports, and </w:t>
      </w:r>
      <w:r w:rsidRPr="00100028">
        <w:rPr>
          <w:rFonts w:asciiTheme="majorBidi" w:hAnsiTheme="majorBidi" w:cstheme="majorBidi"/>
          <w:sz w:val="24"/>
          <w:szCs w:val="24"/>
          <w:lang w:val="en-GB"/>
        </w:rPr>
        <w:t xml:space="preserve">the </w:t>
      </w:r>
      <w:r w:rsidR="002F0AAF" w:rsidRPr="00100028">
        <w:rPr>
          <w:rFonts w:asciiTheme="majorBidi" w:hAnsiTheme="majorBidi" w:cstheme="majorBidi"/>
          <w:sz w:val="24"/>
          <w:szCs w:val="24"/>
          <w:lang w:val="en-GB"/>
        </w:rPr>
        <w:t>status of Palestinians in the diaspora and within Israel.</w:t>
      </w:r>
      <w:r w:rsidR="00CF277A" w:rsidRPr="00100028">
        <w:rPr>
          <w:rStyle w:val="FootnoteReference"/>
          <w:rFonts w:asciiTheme="majorBidi" w:hAnsiTheme="majorBidi" w:cstheme="majorBidi"/>
          <w:sz w:val="24"/>
          <w:szCs w:val="24"/>
          <w:lang w:val="en-GB"/>
        </w:rPr>
        <w:footnoteReference w:id="5"/>
      </w:r>
    </w:p>
    <w:p w:rsidR="00846891" w:rsidRPr="00100028" w:rsidRDefault="00846891"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 </w:t>
      </w:r>
    </w:p>
    <w:p w:rsidR="002F0AAF" w:rsidRPr="00100028" w:rsidRDefault="002F0AAF"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This paper</w:t>
      </w:r>
      <w:r w:rsidR="0084112B" w:rsidRPr="00100028">
        <w:rPr>
          <w:rFonts w:asciiTheme="majorBidi" w:hAnsiTheme="majorBidi" w:cstheme="majorBidi"/>
          <w:sz w:val="24"/>
          <w:szCs w:val="24"/>
          <w:lang w:val="en-GB"/>
        </w:rPr>
        <w:t>, which builds on earlier research,</w:t>
      </w:r>
      <w:r w:rsidRPr="00100028">
        <w:rPr>
          <w:rFonts w:asciiTheme="majorBidi" w:hAnsiTheme="majorBidi" w:cstheme="majorBidi"/>
          <w:sz w:val="24"/>
          <w:szCs w:val="24"/>
          <w:lang w:val="en-GB"/>
        </w:rPr>
        <w:t xml:space="preserve"> argues that international </w:t>
      </w:r>
      <w:r w:rsidR="00844AEC" w:rsidRPr="00100028">
        <w:rPr>
          <w:rFonts w:asciiTheme="majorBidi" w:hAnsiTheme="majorBidi" w:cstheme="majorBidi"/>
          <w:sz w:val="24"/>
          <w:szCs w:val="24"/>
          <w:lang w:val="en-GB"/>
        </w:rPr>
        <w:t xml:space="preserve">law </w:t>
      </w:r>
      <w:r w:rsidRPr="00100028">
        <w:rPr>
          <w:rFonts w:asciiTheme="majorBidi" w:hAnsiTheme="majorBidi" w:cstheme="majorBidi"/>
          <w:sz w:val="24"/>
          <w:szCs w:val="24"/>
          <w:lang w:val="en-GB"/>
        </w:rPr>
        <w:t xml:space="preserve">is </w:t>
      </w:r>
      <w:r w:rsidR="00E74696" w:rsidRPr="00100028">
        <w:rPr>
          <w:rFonts w:asciiTheme="majorBidi" w:hAnsiTheme="majorBidi" w:cstheme="majorBidi"/>
          <w:sz w:val="24"/>
          <w:szCs w:val="24"/>
          <w:lang w:val="en-GB"/>
        </w:rPr>
        <w:t>well- equipped to provide an a clear status</w:t>
      </w:r>
      <w:r w:rsidRPr="00100028">
        <w:rPr>
          <w:rFonts w:asciiTheme="majorBidi" w:hAnsiTheme="majorBidi" w:cstheme="majorBidi"/>
          <w:sz w:val="24"/>
          <w:szCs w:val="24"/>
          <w:lang w:val="en-GB"/>
        </w:rPr>
        <w:t xml:space="preserve"> to </w:t>
      </w:r>
      <w:r w:rsidR="00844AEC" w:rsidRPr="00100028">
        <w:rPr>
          <w:rFonts w:asciiTheme="majorBidi" w:hAnsiTheme="majorBidi" w:cstheme="majorBidi"/>
          <w:sz w:val="24"/>
          <w:szCs w:val="24"/>
          <w:lang w:val="en-GB"/>
        </w:rPr>
        <w:t>those who qualify</w:t>
      </w:r>
      <w:r w:rsidRPr="00100028">
        <w:rPr>
          <w:rFonts w:asciiTheme="majorBidi" w:hAnsiTheme="majorBidi" w:cstheme="majorBidi"/>
          <w:sz w:val="24"/>
          <w:szCs w:val="24"/>
          <w:lang w:val="en-GB"/>
        </w:rPr>
        <w:t xml:space="preserve"> as citizen</w:t>
      </w:r>
      <w:r w:rsidR="00844AEC" w:rsidRPr="00100028">
        <w:rPr>
          <w:rFonts w:asciiTheme="majorBidi" w:hAnsiTheme="majorBidi" w:cstheme="majorBidi"/>
          <w:sz w:val="24"/>
          <w:szCs w:val="24"/>
          <w:lang w:val="en-GB"/>
        </w:rPr>
        <w:t>s</w:t>
      </w:r>
      <w:r w:rsidRPr="00100028">
        <w:rPr>
          <w:rFonts w:asciiTheme="majorBidi" w:hAnsiTheme="majorBidi" w:cstheme="majorBidi"/>
          <w:sz w:val="24"/>
          <w:szCs w:val="24"/>
          <w:lang w:val="en-GB"/>
        </w:rPr>
        <w:t xml:space="preserve"> of </w:t>
      </w:r>
      <w:r w:rsidR="00E74696" w:rsidRPr="00100028">
        <w:rPr>
          <w:rFonts w:asciiTheme="majorBidi" w:hAnsiTheme="majorBidi" w:cstheme="majorBidi"/>
          <w:sz w:val="24"/>
          <w:szCs w:val="24"/>
          <w:lang w:val="en-GB"/>
        </w:rPr>
        <w:t xml:space="preserve">the State of </w:t>
      </w:r>
      <w:r w:rsidRPr="00100028">
        <w:rPr>
          <w:rFonts w:asciiTheme="majorBidi" w:hAnsiTheme="majorBidi" w:cstheme="majorBidi"/>
          <w:sz w:val="24"/>
          <w:szCs w:val="24"/>
          <w:lang w:val="en-GB"/>
        </w:rPr>
        <w:t>Palestine.</w:t>
      </w:r>
      <w:r w:rsidR="0084112B" w:rsidRPr="00100028">
        <w:rPr>
          <w:rStyle w:val="FootnoteReference"/>
          <w:rFonts w:asciiTheme="majorBidi" w:hAnsiTheme="majorBidi" w:cstheme="majorBidi"/>
          <w:sz w:val="24"/>
          <w:szCs w:val="24"/>
          <w:lang w:val="en-GB"/>
        </w:rPr>
        <w:footnoteReference w:id="6"/>
      </w:r>
      <w:r w:rsidRPr="00100028">
        <w:rPr>
          <w:rFonts w:asciiTheme="majorBidi" w:hAnsiTheme="majorBidi" w:cstheme="majorBidi"/>
          <w:sz w:val="24"/>
          <w:szCs w:val="24"/>
          <w:lang w:val="en-GB"/>
        </w:rPr>
        <w:t xml:space="preserve"> That quali</w:t>
      </w:r>
      <w:r w:rsidR="00CF277A" w:rsidRPr="00100028">
        <w:rPr>
          <w:rFonts w:asciiTheme="majorBidi" w:hAnsiTheme="majorBidi" w:cstheme="majorBidi"/>
          <w:sz w:val="24"/>
          <w:szCs w:val="24"/>
          <w:lang w:val="en-GB"/>
        </w:rPr>
        <w:t>fication</w:t>
      </w:r>
      <w:r w:rsidR="00E74696" w:rsidRPr="00100028">
        <w:rPr>
          <w:rFonts w:asciiTheme="majorBidi" w:hAnsiTheme="majorBidi" w:cstheme="majorBidi"/>
          <w:sz w:val="24"/>
          <w:szCs w:val="24"/>
          <w:lang w:val="en-GB"/>
        </w:rPr>
        <w:t xml:space="preserve">, in order </w:t>
      </w:r>
      <w:r w:rsidR="0054414C" w:rsidRPr="00100028">
        <w:rPr>
          <w:rFonts w:asciiTheme="majorBidi" w:hAnsiTheme="majorBidi" w:cstheme="majorBidi"/>
          <w:sz w:val="24"/>
          <w:szCs w:val="24"/>
          <w:lang w:val="en-GB"/>
        </w:rPr>
        <w:t xml:space="preserve">for the status </w:t>
      </w:r>
      <w:r w:rsidR="00E74696" w:rsidRPr="00100028">
        <w:rPr>
          <w:rFonts w:asciiTheme="majorBidi" w:hAnsiTheme="majorBidi" w:cstheme="majorBidi"/>
          <w:sz w:val="24"/>
          <w:szCs w:val="24"/>
          <w:lang w:val="en-GB"/>
        </w:rPr>
        <w:t>to be precisely exercised, needs</w:t>
      </w:r>
      <w:r w:rsidR="00CF277A" w:rsidRPr="00100028">
        <w:rPr>
          <w:rFonts w:asciiTheme="majorBidi" w:hAnsiTheme="majorBidi" w:cstheme="majorBidi"/>
          <w:sz w:val="24"/>
          <w:szCs w:val="24"/>
          <w:lang w:val="en-GB"/>
        </w:rPr>
        <w:t xml:space="preserve"> </w:t>
      </w:r>
      <w:r w:rsidR="00E74696" w:rsidRPr="00100028">
        <w:rPr>
          <w:rFonts w:asciiTheme="majorBidi" w:hAnsiTheme="majorBidi" w:cstheme="majorBidi"/>
          <w:sz w:val="24"/>
          <w:szCs w:val="24"/>
          <w:lang w:val="en-GB"/>
        </w:rPr>
        <w:t xml:space="preserve">to </w:t>
      </w:r>
      <w:r w:rsidR="00CF277A" w:rsidRPr="00100028">
        <w:rPr>
          <w:rFonts w:asciiTheme="majorBidi" w:hAnsiTheme="majorBidi" w:cstheme="majorBidi"/>
          <w:sz w:val="24"/>
          <w:szCs w:val="24"/>
          <w:lang w:val="en-GB"/>
        </w:rPr>
        <w:t xml:space="preserve">be </w:t>
      </w:r>
      <w:r w:rsidR="00E74696" w:rsidRPr="00100028">
        <w:rPr>
          <w:rFonts w:asciiTheme="majorBidi" w:hAnsiTheme="majorBidi" w:cstheme="majorBidi"/>
          <w:sz w:val="24"/>
          <w:szCs w:val="24"/>
          <w:lang w:val="en-GB"/>
        </w:rPr>
        <w:t xml:space="preserve">ultimately </w:t>
      </w:r>
      <w:r w:rsidR="00CF277A" w:rsidRPr="00100028">
        <w:rPr>
          <w:rFonts w:asciiTheme="majorBidi" w:hAnsiTheme="majorBidi" w:cstheme="majorBidi"/>
          <w:sz w:val="24"/>
          <w:szCs w:val="24"/>
          <w:lang w:val="en-GB"/>
        </w:rPr>
        <w:t>reflected in</w:t>
      </w:r>
      <w:r w:rsidRPr="00100028">
        <w:rPr>
          <w:rFonts w:asciiTheme="majorBidi" w:hAnsiTheme="majorBidi" w:cstheme="majorBidi"/>
          <w:sz w:val="24"/>
          <w:szCs w:val="24"/>
          <w:lang w:val="en-GB"/>
        </w:rPr>
        <w:t xml:space="preserve"> a citizenship law that may be adopted by the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w:t>
      </w:r>
      <w:r w:rsidR="0084112B" w:rsidRPr="00100028">
        <w:rPr>
          <w:rStyle w:val="FootnoteReference"/>
          <w:rFonts w:asciiTheme="majorBidi" w:hAnsiTheme="majorBidi" w:cstheme="majorBidi"/>
          <w:sz w:val="24"/>
          <w:szCs w:val="24"/>
          <w:lang w:val="en-GB"/>
        </w:rPr>
        <w:footnoteReference w:id="7"/>
      </w:r>
    </w:p>
    <w:p w:rsidR="002F0AAF" w:rsidRPr="00100028" w:rsidRDefault="002F0AAF" w:rsidP="00100028">
      <w:pPr>
        <w:bidi w:val="0"/>
        <w:jc w:val="both"/>
        <w:rPr>
          <w:rFonts w:asciiTheme="majorBidi" w:hAnsiTheme="majorBidi" w:cstheme="majorBidi"/>
          <w:sz w:val="24"/>
          <w:szCs w:val="24"/>
          <w:lang w:val="en-GB"/>
        </w:rPr>
      </w:pPr>
    </w:p>
    <w:p w:rsidR="008A7BA1" w:rsidRPr="00100028" w:rsidRDefault="002F0AAF" w:rsidP="00100028">
      <w:pPr>
        <w:bidi w:val="0"/>
        <w:jc w:val="both"/>
        <w:rPr>
          <w:rFonts w:asciiTheme="majorBidi" w:hAnsiTheme="majorBidi" w:cstheme="majorBidi"/>
          <w:snapToGrid w:val="0"/>
          <w:color w:val="000000"/>
          <w:sz w:val="24"/>
          <w:szCs w:val="24"/>
          <w:lang w:val="en-GB"/>
        </w:rPr>
      </w:pPr>
      <w:r w:rsidRPr="00100028">
        <w:rPr>
          <w:rFonts w:asciiTheme="majorBidi" w:hAnsiTheme="majorBidi" w:cstheme="majorBidi"/>
          <w:sz w:val="24"/>
          <w:szCs w:val="24"/>
          <w:lang w:val="en-GB"/>
        </w:rPr>
        <w:t>As citizenship</w:t>
      </w:r>
      <w:r w:rsidR="00A52788" w:rsidRPr="00100028">
        <w:rPr>
          <w:rFonts w:asciiTheme="majorBidi" w:hAnsiTheme="majorBidi" w:cstheme="majorBidi"/>
          <w:color w:val="000000"/>
          <w:sz w:val="24"/>
          <w:szCs w:val="24"/>
          <w:lang w:val="en-GB"/>
        </w:rPr>
        <w:t xml:space="preserve"> is inherently related to sovereignty,</w:t>
      </w:r>
      <w:r w:rsidR="0084112B" w:rsidRPr="00100028">
        <w:rPr>
          <w:rStyle w:val="FootnoteReference"/>
          <w:rFonts w:asciiTheme="majorBidi" w:hAnsiTheme="majorBidi" w:cstheme="majorBidi"/>
          <w:sz w:val="24"/>
          <w:szCs w:val="24"/>
          <w:lang w:val="en-GB"/>
        </w:rPr>
        <w:footnoteReference w:id="8"/>
      </w:r>
      <w:r w:rsidR="00A52788" w:rsidRPr="00100028">
        <w:rPr>
          <w:rFonts w:asciiTheme="majorBidi" w:hAnsiTheme="majorBidi" w:cstheme="majorBidi"/>
          <w:sz w:val="24"/>
          <w:szCs w:val="24"/>
          <w:lang w:val="en-GB"/>
        </w:rPr>
        <w:t xml:space="preserve"> any attempt to understand the current s</w:t>
      </w:r>
      <w:r w:rsidRPr="00100028">
        <w:rPr>
          <w:rFonts w:asciiTheme="majorBidi" w:hAnsiTheme="majorBidi" w:cstheme="majorBidi"/>
          <w:sz w:val="24"/>
          <w:szCs w:val="24"/>
          <w:lang w:val="en-GB"/>
        </w:rPr>
        <w:t>tatus of Palestinian citizenship</w:t>
      </w:r>
      <w:r w:rsidR="00A52788" w:rsidRPr="00100028">
        <w:rPr>
          <w:rFonts w:asciiTheme="majorBidi" w:hAnsiTheme="majorBidi" w:cstheme="majorBidi"/>
          <w:sz w:val="24"/>
          <w:szCs w:val="24"/>
          <w:lang w:val="en-GB"/>
        </w:rPr>
        <w:t xml:space="preserve"> should start from the moment at which </w:t>
      </w:r>
      <w:r w:rsidR="00893F12" w:rsidRPr="00100028">
        <w:rPr>
          <w:rFonts w:asciiTheme="majorBidi" w:hAnsiTheme="majorBidi" w:cstheme="majorBidi"/>
          <w:sz w:val="24"/>
          <w:szCs w:val="24"/>
          <w:lang w:val="en-GB"/>
        </w:rPr>
        <w:t>“</w:t>
      </w:r>
      <w:r w:rsidR="00A52788" w:rsidRPr="00100028">
        <w:rPr>
          <w:rFonts w:asciiTheme="majorBidi" w:hAnsiTheme="majorBidi" w:cstheme="majorBidi"/>
          <w:sz w:val="24"/>
          <w:szCs w:val="24"/>
          <w:lang w:val="en-GB"/>
        </w:rPr>
        <w:t>Palestine</w:t>
      </w:r>
      <w:r w:rsidR="009C63C1" w:rsidRPr="00100028">
        <w:rPr>
          <w:rFonts w:asciiTheme="majorBidi" w:hAnsiTheme="majorBidi" w:cstheme="majorBidi"/>
          <w:sz w:val="24"/>
          <w:szCs w:val="24"/>
          <w:lang w:val="en-GB"/>
        </w:rPr>
        <w:t>”</w:t>
      </w:r>
      <w:r w:rsidR="00A52788" w:rsidRPr="00100028">
        <w:rPr>
          <w:rFonts w:asciiTheme="majorBidi" w:hAnsiTheme="majorBidi" w:cstheme="majorBidi"/>
          <w:sz w:val="24"/>
          <w:szCs w:val="24"/>
          <w:lang w:val="en-GB"/>
        </w:rPr>
        <w:t xml:space="preserve"> </w:t>
      </w:r>
      <w:r w:rsidR="0054414C" w:rsidRPr="00100028">
        <w:rPr>
          <w:rFonts w:asciiTheme="majorBidi" w:hAnsiTheme="majorBidi" w:cstheme="majorBidi"/>
          <w:sz w:val="24"/>
          <w:szCs w:val="24"/>
          <w:lang w:val="en-GB"/>
        </w:rPr>
        <w:t>had beco</w:t>
      </w:r>
      <w:r w:rsidR="00A52788" w:rsidRPr="00100028">
        <w:rPr>
          <w:rFonts w:asciiTheme="majorBidi" w:hAnsiTheme="majorBidi" w:cstheme="majorBidi"/>
          <w:sz w:val="24"/>
          <w:szCs w:val="24"/>
          <w:lang w:val="en-GB"/>
        </w:rPr>
        <w:t>me a separate</w:t>
      </w:r>
      <w:r w:rsidR="0054414C" w:rsidRPr="00100028">
        <w:rPr>
          <w:rFonts w:asciiTheme="majorBidi" w:hAnsiTheme="majorBidi" w:cstheme="majorBidi"/>
          <w:sz w:val="24"/>
          <w:szCs w:val="24"/>
          <w:lang w:val="en-GB"/>
        </w:rPr>
        <w:t xml:space="preserve"> entity able to confer</w:t>
      </w:r>
      <w:r w:rsidRPr="00100028">
        <w:rPr>
          <w:rFonts w:asciiTheme="majorBidi" w:hAnsiTheme="majorBidi" w:cstheme="majorBidi"/>
          <w:sz w:val="24"/>
          <w:szCs w:val="24"/>
          <w:lang w:val="en-GB"/>
        </w:rPr>
        <w:t xml:space="preserve"> citizenship</w:t>
      </w:r>
      <w:r w:rsidR="00A52788" w:rsidRPr="00100028">
        <w:rPr>
          <w:rFonts w:asciiTheme="majorBidi" w:hAnsiTheme="majorBidi" w:cstheme="majorBidi"/>
          <w:sz w:val="24"/>
          <w:szCs w:val="24"/>
          <w:lang w:val="en-GB"/>
        </w:rPr>
        <w:t>, na</w:t>
      </w:r>
      <w:r w:rsidR="008062F3" w:rsidRPr="00100028">
        <w:rPr>
          <w:rFonts w:asciiTheme="majorBidi" w:hAnsiTheme="majorBidi" w:cstheme="majorBidi"/>
          <w:sz w:val="24"/>
          <w:szCs w:val="24"/>
          <w:lang w:val="en-GB"/>
        </w:rPr>
        <w:t>mely after the separation of this</w:t>
      </w:r>
      <w:r w:rsidR="00A52788" w:rsidRPr="00100028">
        <w:rPr>
          <w:rFonts w:asciiTheme="majorBidi" w:hAnsiTheme="majorBidi" w:cstheme="majorBidi"/>
          <w:sz w:val="24"/>
          <w:szCs w:val="24"/>
          <w:lang w:val="en-GB"/>
        </w:rPr>
        <w:t xml:space="preserve"> territory from the Ottoman Empire</w:t>
      </w:r>
      <w:r w:rsidR="008A7BA1" w:rsidRPr="00100028">
        <w:rPr>
          <w:rFonts w:asciiTheme="majorBidi" w:hAnsiTheme="majorBidi" w:cstheme="majorBidi"/>
          <w:sz w:val="24"/>
          <w:szCs w:val="24"/>
          <w:lang w:val="en-GB"/>
        </w:rPr>
        <w:t>.</w:t>
      </w:r>
      <w:r w:rsidR="008A7BA1" w:rsidRPr="00100028">
        <w:rPr>
          <w:rFonts w:asciiTheme="majorBidi" w:hAnsiTheme="majorBidi" w:cstheme="majorBidi"/>
          <w:snapToGrid w:val="0"/>
          <w:color w:val="000000"/>
          <w:sz w:val="24"/>
          <w:szCs w:val="24"/>
          <w:lang w:val="en-GB"/>
        </w:rPr>
        <w:t xml:space="preserve"> </w:t>
      </w:r>
      <w:r w:rsidR="008062F3" w:rsidRPr="00100028">
        <w:rPr>
          <w:rFonts w:asciiTheme="majorBidi" w:hAnsiTheme="majorBidi" w:cstheme="majorBidi"/>
          <w:color w:val="000000"/>
          <w:sz w:val="24"/>
          <w:szCs w:val="24"/>
          <w:lang w:val="en-GB"/>
        </w:rPr>
        <w:t>Under the Ottomans, the inhabitants of Palestine were Turkish citizens.</w:t>
      </w:r>
      <w:r w:rsidR="008062F3" w:rsidRPr="00100028">
        <w:rPr>
          <w:rStyle w:val="FootnoteReference"/>
          <w:rFonts w:asciiTheme="majorBidi" w:hAnsiTheme="majorBidi" w:cstheme="majorBidi"/>
          <w:color w:val="000000"/>
          <w:sz w:val="24"/>
          <w:szCs w:val="24"/>
          <w:lang w:val="en-GB"/>
        </w:rPr>
        <w:footnoteReference w:id="9"/>
      </w:r>
      <w:r w:rsidR="008062F3" w:rsidRPr="00100028">
        <w:rPr>
          <w:rFonts w:asciiTheme="majorBidi" w:hAnsiTheme="majorBidi" w:cstheme="majorBidi"/>
          <w:color w:val="000000"/>
          <w:sz w:val="24"/>
          <w:szCs w:val="24"/>
          <w:lang w:val="en-GB"/>
        </w:rPr>
        <w:t xml:space="preserve"> The “Palestinians</w:t>
      </w:r>
      <w:r w:rsidR="008062F3" w:rsidRPr="00100028">
        <w:rPr>
          <w:rFonts w:asciiTheme="majorBidi" w:hAnsiTheme="majorBidi" w:cstheme="majorBidi"/>
          <w:sz w:val="24"/>
          <w:szCs w:val="24"/>
          <w:lang w:val="en-GB"/>
        </w:rPr>
        <w:t>”</w:t>
      </w:r>
      <w:r w:rsidR="008062F3" w:rsidRPr="00100028">
        <w:rPr>
          <w:rFonts w:asciiTheme="majorBidi" w:hAnsiTheme="majorBidi" w:cstheme="majorBidi"/>
          <w:color w:val="000000"/>
          <w:sz w:val="24"/>
          <w:szCs w:val="24"/>
          <w:lang w:val="en-GB"/>
        </w:rPr>
        <w:t xml:space="preserve"> </w:t>
      </w:r>
      <w:r w:rsidR="0054414C" w:rsidRPr="00100028">
        <w:rPr>
          <w:rFonts w:asciiTheme="majorBidi" w:hAnsiTheme="majorBidi" w:cstheme="majorBidi"/>
          <w:color w:val="000000"/>
          <w:sz w:val="24"/>
          <w:szCs w:val="24"/>
          <w:lang w:val="en-GB"/>
        </w:rPr>
        <w:t xml:space="preserve">then </w:t>
      </w:r>
      <w:r w:rsidR="008062F3" w:rsidRPr="00100028">
        <w:rPr>
          <w:rFonts w:asciiTheme="majorBidi" w:hAnsiTheme="majorBidi" w:cstheme="majorBidi"/>
          <w:color w:val="000000"/>
          <w:sz w:val="24"/>
          <w:szCs w:val="24"/>
          <w:lang w:val="en-GB"/>
        </w:rPr>
        <w:t>had no particular legal status. Hence, a distinct “Palestinian people</w:t>
      </w:r>
      <w:r w:rsidR="008062F3" w:rsidRPr="00100028">
        <w:rPr>
          <w:rFonts w:asciiTheme="majorBidi" w:hAnsiTheme="majorBidi" w:cstheme="majorBidi"/>
          <w:sz w:val="24"/>
          <w:szCs w:val="24"/>
          <w:lang w:val="en-GB"/>
        </w:rPr>
        <w:t>”</w:t>
      </w:r>
      <w:r w:rsidR="008062F3" w:rsidRPr="00100028">
        <w:rPr>
          <w:rFonts w:asciiTheme="majorBidi" w:hAnsiTheme="majorBidi" w:cstheme="majorBidi"/>
          <w:color w:val="000000"/>
          <w:sz w:val="24"/>
          <w:szCs w:val="24"/>
          <w:lang w:val="en-GB"/>
        </w:rPr>
        <w:t xml:space="preserve"> did not exist at the time. The “Palestinians</w:t>
      </w:r>
      <w:r w:rsidR="008062F3" w:rsidRPr="00100028">
        <w:rPr>
          <w:rFonts w:asciiTheme="majorBidi" w:hAnsiTheme="majorBidi" w:cstheme="majorBidi"/>
          <w:sz w:val="24"/>
          <w:szCs w:val="24"/>
          <w:lang w:val="en-GB"/>
        </w:rPr>
        <w:t>”</w:t>
      </w:r>
      <w:r w:rsidR="008062F3" w:rsidRPr="00100028">
        <w:rPr>
          <w:rFonts w:asciiTheme="majorBidi" w:hAnsiTheme="majorBidi" w:cstheme="majorBidi"/>
          <w:color w:val="000000"/>
          <w:sz w:val="24"/>
          <w:szCs w:val="24"/>
          <w:lang w:val="en-GB"/>
        </w:rPr>
        <w:t xml:space="preserve"> constituted a component of the larger “Ottoman people</w:t>
      </w:r>
      <w:r w:rsidR="008062F3" w:rsidRPr="00100028">
        <w:rPr>
          <w:rFonts w:asciiTheme="majorBidi" w:hAnsiTheme="majorBidi" w:cstheme="majorBidi"/>
          <w:sz w:val="24"/>
          <w:szCs w:val="24"/>
          <w:lang w:val="en-GB"/>
        </w:rPr>
        <w:t>”</w:t>
      </w:r>
      <w:r w:rsidR="008062F3" w:rsidRPr="00100028">
        <w:rPr>
          <w:rFonts w:asciiTheme="majorBidi" w:hAnsiTheme="majorBidi" w:cstheme="majorBidi"/>
          <w:color w:val="000000"/>
          <w:sz w:val="24"/>
          <w:szCs w:val="24"/>
          <w:lang w:val="en-GB"/>
        </w:rPr>
        <w:t>.</w:t>
      </w:r>
      <w:r w:rsidR="00544EEC" w:rsidRPr="00100028">
        <w:rPr>
          <w:rStyle w:val="FootnoteReference"/>
          <w:rFonts w:asciiTheme="majorBidi" w:hAnsiTheme="majorBidi" w:cstheme="majorBidi"/>
          <w:color w:val="000000"/>
          <w:sz w:val="24"/>
          <w:szCs w:val="24"/>
          <w:lang w:val="en-GB"/>
        </w:rPr>
        <w:footnoteReference w:id="10"/>
      </w:r>
      <w:r w:rsidR="008062F3" w:rsidRPr="00100028">
        <w:rPr>
          <w:rFonts w:asciiTheme="majorBidi" w:hAnsiTheme="majorBidi" w:cstheme="majorBidi"/>
          <w:color w:val="000000"/>
          <w:sz w:val="24"/>
          <w:szCs w:val="24"/>
          <w:lang w:val="en-GB"/>
        </w:rPr>
        <w:t xml:space="preserve"> </w:t>
      </w:r>
      <w:r w:rsidR="008062F3" w:rsidRPr="00100028">
        <w:rPr>
          <w:rFonts w:asciiTheme="majorBidi" w:hAnsiTheme="majorBidi" w:cstheme="majorBidi"/>
          <w:snapToGrid w:val="0"/>
          <w:color w:val="000000"/>
          <w:sz w:val="24"/>
          <w:szCs w:val="24"/>
          <w:lang w:val="en-GB"/>
        </w:rPr>
        <w:t>Towards the end</w:t>
      </w:r>
      <w:r w:rsidR="008A7BA1" w:rsidRPr="00100028">
        <w:rPr>
          <w:rFonts w:asciiTheme="majorBidi" w:hAnsiTheme="majorBidi" w:cstheme="majorBidi"/>
          <w:snapToGrid w:val="0"/>
          <w:color w:val="000000"/>
          <w:sz w:val="24"/>
          <w:szCs w:val="24"/>
          <w:lang w:val="en-GB"/>
        </w:rPr>
        <w:t xml:space="preserve"> of </w:t>
      </w:r>
      <w:r w:rsidR="00FE2B16" w:rsidRPr="00100028">
        <w:rPr>
          <w:rFonts w:asciiTheme="majorBidi" w:hAnsiTheme="majorBidi" w:cstheme="majorBidi"/>
          <w:snapToGrid w:val="0"/>
          <w:color w:val="000000"/>
          <w:sz w:val="24"/>
          <w:szCs w:val="24"/>
          <w:lang w:val="en-GB"/>
        </w:rPr>
        <w:t>the First World War</w:t>
      </w:r>
      <w:r w:rsidR="008A7BA1" w:rsidRPr="00100028">
        <w:rPr>
          <w:rFonts w:asciiTheme="majorBidi" w:hAnsiTheme="majorBidi" w:cstheme="majorBidi"/>
          <w:snapToGrid w:val="0"/>
          <w:color w:val="000000"/>
          <w:sz w:val="24"/>
          <w:szCs w:val="24"/>
          <w:lang w:val="en-GB"/>
        </w:rPr>
        <w:t xml:space="preserve">, </w:t>
      </w:r>
      <w:r w:rsidR="0054414C" w:rsidRPr="00100028">
        <w:rPr>
          <w:rFonts w:asciiTheme="majorBidi" w:hAnsiTheme="majorBidi" w:cstheme="majorBidi"/>
          <w:snapToGrid w:val="0"/>
          <w:color w:val="000000"/>
          <w:sz w:val="24"/>
          <w:szCs w:val="24"/>
          <w:lang w:val="en-GB"/>
        </w:rPr>
        <w:t>as part of the general Turkish defeat by the Allies</w:t>
      </w:r>
      <w:r w:rsidR="008A7BA1" w:rsidRPr="00100028">
        <w:rPr>
          <w:rFonts w:asciiTheme="majorBidi" w:hAnsiTheme="majorBidi" w:cstheme="majorBidi"/>
          <w:snapToGrid w:val="0"/>
          <w:color w:val="000000"/>
          <w:sz w:val="24"/>
          <w:szCs w:val="24"/>
          <w:lang w:val="en-GB"/>
        </w:rPr>
        <w:t xml:space="preserve">, the territory </w:t>
      </w:r>
      <w:r w:rsidR="008062F3" w:rsidRPr="00100028">
        <w:rPr>
          <w:rFonts w:asciiTheme="majorBidi" w:hAnsiTheme="majorBidi" w:cstheme="majorBidi"/>
          <w:snapToGrid w:val="0"/>
          <w:color w:val="000000"/>
          <w:sz w:val="24"/>
          <w:szCs w:val="24"/>
          <w:lang w:val="en-GB"/>
        </w:rPr>
        <w:t>of</w:t>
      </w:r>
      <w:r w:rsidR="008A7BA1" w:rsidRPr="00100028">
        <w:rPr>
          <w:rFonts w:asciiTheme="majorBidi" w:hAnsiTheme="majorBidi" w:cstheme="majorBidi"/>
          <w:snapToGrid w:val="0"/>
          <w:color w:val="000000"/>
          <w:sz w:val="24"/>
          <w:szCs w:val="24"/>
          <w:lang w:val="en-GB"/>
        </w:rPr>
        <w:t xml:space="preserve"> Palestine fell in 1917</w:t>
      </w:r>
      <w:r w:rsidR="008062F3" w:rsidRPr="00100028">
        <w:rPr>
          <w:rFonts w:asciiTheme="majorBidi" w:hAnsiTheme="majorBidi" w:cstheme="majorBidi"/>
          <w:snapToGrid w:val="0"/>
          <w:color w:val="000000"/>
          <w:sz w:val="24"/>
          <w:szCs w:val="24"/>
          <w:lang w:val="en-GB"/>
        </w:rPr>
        <w:t>-1918 under British occupation.</w:t>
      </w:r>
    </w:p>
    <w:p w:rsidR="008A7BA1" w:rsidRPr="00100028" w:rsidRDefault="008A7BA1" w:rsidP="00100028">
      <w:pPr>
        <w:bidi w:val="0"/>
        <w:jc w:val="both"/>
        <w:rPr>
          <w:rFonts w:asciiTheme="majorBidi" w:hAnsiTheme="majorBidi" w:cstheme="majorBidi"/>
          <w:sz w:val="24"/>
          <w:szCs w:val="24"/>
          <w:lang w:val="en-GB"/>
        </w:rPr>
      </w:pPr>
    </w:p>
    <w:p w:rsidR="00A52788" w:rsidRPr="00100028" w:rsidRDefault="008A7BA1" w:rsidP="00100028">
      <w:pPr>
        <w:bidi w:val="0"/>
        <w:jc w:val="both"/>
        <w:rPr>
          <w:rFonts w:asciiTheme="majorBidi" w:hAnsiTheme="majorBidi" w:cstheme="majorBidi"/>
          <w:sz w:val="24"/>
          <w:szCs w:val="24"/>
          <w:lang w:val="en-GB"/>
        </w:rPr>
      </w:pPr>
      <w:r w:rsidRPr="00100028">
        <w:rPr>
          <w:rFonts w:asciiTheme="majorBidi" w:hAnsiTheme="majorBidi" w:cstheme="majorBidi"/>
          <w:color w:val="000000"/>
          <w:sz w:val="24"/>
          <w:szCs w:val="24"/>
          <w:lang w:val="en-GB"/>
        </w:rPr>
        <w:t>To</w:t>
      </w:r>
      <w:r w:rsidR="008062F3" w:rsidRPr="00100028">
        <w:rPr>
          <w:rFonts w:asciiTheme="majorBidi" w:hAnsiTheme="majorBidi" w:cstheme="majorBidi"/>
          <w:color w:val="000000"/>
          <w:sz w:val="24"/>
          <w:szCs w:val="24"/>
          <w:lang w:val="en-GB"/>
        </w:rPr>
        <w:t xml:space="preserve"> acquire Palestinian citizenship</w:t>
      </w:r>
      <w:r w:rsidRPr="00100028">
        <w:rPr>
          <w:rFonts w:asciiTheme="majorBidi" w:hAnsiTheme="majorBidi" w:cstheme="majorBidi"/>
          <w:color w:val="000000"/>
          <w:sz w:val="24"/>
          <w:szCs w:val="24"/>
          <w:lang w:val="en-GB"/>
        </w:rPr>
        <w:t xml:space="preserve"> at the outset, one was required to hold the status of an </w:t>
      </w:r>
      <w:r w:rsidR="00893F12"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Ottoman subject</w:t>
      </w:r>
      <w:r w:rsidR="009C63C1" w:rsidRPr="00100028">
        <w:rPr>
          <w:rFonts w:asciiTheme="majorBidi" w:hAnsiTheme="majorBidi" w:cstheme="majorBidi"/>
          <w:sz w:val="24"/>
          <w:szCs w:val="24"/>
          <w:lang w:val="en-GB"/>
        </w:rPr>
        <w:t>”</w:t>
      </w:r>
      <w:r w:rsidRPr="00100028">
        <w:rPr>
          <w:rFonts w:asciiTheme="majorBidi" w:hAnsiTheme="majorBidi" w:cstheme="majorBidi"/>
          <w:color w:val="000000"/>
          <w:sz w:val="24"/>
          <w:szCs w:val="24"/>
          <w:lang w:val="en-GB"/>
        </w:rPr>
        <w:t xml:space="preserve"> or citizen.</w:t>
      </w:r>
      <w:r w:rsidR="00F25E93" w:rsidRPr="00100028">
        <w:rPr>
          <w:rStyle w:val="FootnoteReference"/>
          <w:rFonts w:asciiTheme="majorBidi" w:hAnsiTheme="majorBidi" w:cstheme="majorBidi"/>
          <w:color w:val="000000"/>
          <w:sz w:val="24"/>
          <w:szCs w:val="24"/>
          <w:lang w:val="en-GB"/>
        </w:rPr>
        <w:footnoteReference w:id="11"/>
      </w:r>
      <w:r w:rsidRPr="00100028">
        <w:rPr>
          <w:rFonts w:asciiTheme="majorBidi" w:hAnsiTheme="majorBidi" w:cstheme="majorBidi"/>
          <w:color w:val="000000"/>
          <w:sz w:val="24"/>
          <w:szCs w:val="24"/>
          <w:lang w:val="en-GB"/>
        </w:rPr>
        <w:t xml:space="preserve"> U</w:t>
      </w:r>
      <w:r w:rsidR="00FC47C0" w:rsidRPr="00100028">
        <w:rPr>
          <w:rFonts w:asciiTheme="majorBidi" w:hAnsiTheme="majorBidi" w:cstheme="majorBidi"/>
          <w:color w:val="000000"/>
          <w:sz w:val="24"/>
          <w:szCs w:val="24"/>
          <w:lang w:val="en-GB"/>
        </w:rPr>
        <w:t xml:space="preserve">pon the entry into force of the </w:t>
      </w:r>
      <w:r w:rsidRPr="00100028">
        <w:rPr>
          <w:rFonts w:asciiTheme="majorBidi" w:hAnsiTheme="majorBidi" w:cstheme="majorBidi"/>
          <w:color w:val="000000"/>
          <w:sz w:val="24"/>
          <w:szCs w:val="24"/>
          <w:lang w:val="en-GB"/>
        </w:rPr>
        <w:t>Treaty of Lausanne</w:t>
      </w:r>
      <w:r w:rsidR="00FC47C0" w:rsidRPr="00100028">
        <w:rPr>
          <w:rFonts w:asciiTheme="majorBidi" w:hAnsiTheme="majorBidi" w:cstheme="majorBidi"/>
          <w:color w:val="000000"/>
          <w:sz w:val="24"/>
          <w:szCs w:val="24"/>
          <w:lang w:val="en-GB"/>
        </w:rPr>
        <w:t xml:space="preserve"> which was signed between the Allies and Turkey on </w:t>
      </w:r>
      <w:r w:rsidR="00FC47C0" w:rsidRPr="00100028">
        <w:rPr>
          <w:rFonts w:asciiTheme="majorBidi" w:hAnsiTheme="majorBidi" w:cstheme="majorBidi"/>
          <w:color w:val="000000"/>
          <w:sz w:val="24"/>
          <w:szCs w:val="24"/>
          <w:rtl/>
          <w:lang w:val="en-GB" w:bidi="ar-SA"/>
        </w:rPr>
        <w:t>24</w:t>
      </w:r>
      <w:r w:rsidR="00FC47C0" w:rsidRPr="00100028">
        <w:rPr>
          <w:rFonts w:asciiTheme="majorBidi" w:hAnsiTheme="majorBidi" w:cstheme="majorBidi"/>
          <w:color w:val="000000"/>
          <w:sz w:val="24"/>
          <w:szCs w:val="24"/>
          <w:lang w:val="en-GB"/>
        </w:rPr>
        <w:t xml:space="preserve"> July 1923</w:t>
      </w:r>
      <w:r w:rsidRPr="00100028">
        <w:rPr>
          <w:rFonts w:asciiTheme="majorBidi" w:hAnsiTheme="majorBidi" w:cstheme="majorBidi"/>
          <w:color w:val="000000"/>
          <w:sz w:val="24"/>
          <w:szCs w:val="24"/>
          <w:lang w:val="en-GB"/>
        </w:rPr>
        <w:t>,</w:t>
      </w:r>
      <w:r w:rsidR="00FC47C0" w:rsidRPr="00100028">
        <w:rPr>
          <w:rStyle w:val="FootnoteReference"/>
          <w:rFonts w:asciiTheme="majorBidi" w:hAnsiTheme="majorBidi" w:cstheme="majorBidi"/>
          <w:color w:val="000000"/>
          <w:sz w:val="24"/>
          <w:szCs w:val="24"/>
          <w:lang w:val="en-GB"/>
        </w:rPr>
        <w:footnoteReference w:id="12"/>
      </w:r>
      <w:r w:rsidRPr="00100028">
        <w:rPr>
          <w:rFonts w:asciiTheme="majorBidi" w:hAnsiTheme="majorBidi" w:cstheme="majorBidi"/>
          <w:color w:val="000000"/>
          <w:sz w:val="24"/>
          <w:szCs w:val="24"/>
          <w:lang w:val="en-GB"/>
        </w:rPr>
        <w:t xml:space="preserve"> the international instrument whereby Palestine was legally separated from Turkey on 6 August 1924, Ottoman citizens who resided in the territory of Palestine became </w:t>
      </w:r>
      <w:r w:rsidRPr="00100028">
        <w:rPr>
          <w:rFonts w:asciiTheme="majorBidi" w:hAnsiTheme="majorBidi" w:cstheme="majorBidi"/>
          <w:i/>
          <w:color w:val="000000"/>
          <w:sz w:val="24"/>
          <w:szCs w:val="24"/>
          <w:lang w:val="en-GB"/>
        </w:rPr>
        <w:t>ipso facto</w:t>
      </w:r>
      <w:r w:rsidRPr="00100028">
        <w:rPr>
          <w:rFonts w:asciiTheme="majorBidi" w:hAnsiTheme="majorBidi" w:cstheme="majorBidi"/>
          <w:color w:val="000000"/>
          <w:sz w:val="24"/>
          <w:szCs w:val="24"/>
          <w:lang w:val="en-GB"/>
        </w:rPr>
        <w:t xml:space="preserve"> </w:t>
      </w:r>
      <w:r w:rsidR="00893F12"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Palestinian citizens</w:t>
      </w:r>
      <w:r w:rsidR="009C63C1" w:rsidRPr="00100028">
        <w:rPr>
          <w:rFonts w:asciiTheme="majorBidi" w:hAnsiTheme="majorBidi" w:cstheme="majorBidi"/>
          <w:sz w:val="24"/>
          <w:szCs w:val="24"/>
          <w:lang w:val="en-GB"/>
        </w:rPr>
        <w:t>”</w:t>
      </w:r>
      <w:r w:rsidRPr="00100028">
        <w:rPr>
          <w:rFonts w:asciiTheme="majorBidi" w:hAnsiTheme="majorBidi" w:cstheme="majorBidi"/>
          <w:color w:val="000000"/>
          <w:sz w:val="24"/>
          <w:szCs w:val="24"/>
          <w:lang w:val="en-GB"/>
        </w:rPr>
        <w:t>.</w:t>
      </w:r>
      <w:r w:rsidR="00544EEC" w:rsidRPr="00100028">
        <w:rPr>
          <w:rStyle w:val="FootnoteReference"/>
          <w:rFonts w:asciiTheme="majorBidi" w:hAnsiTheme="majorBidi" w:cstheme="majorBidi"/>
          <w:color w:val="000000"/>
          <w:sz w:val="24"/>
          <w:szCs w:val="24"/>
          <w:lang w:val="en-GB"/>
        </w:rPr>
        <w:footnoteReference w:id="13"/>
      </w:r>
      <w:r w:rsidRPr="00100028">
        <w:rPr>
          <w:rFonts w:asciiTheme="majorBidi" w:hAnsiTheme="majorBidi" w:cstheme="majorBidi"/>
          <w:color w:val="000000"/>
          <w:sz w:val="24"/>
          <w:szCs w:val="24"/>
          <w:lang w:val="en-GB"/>
        </w:rPr>
        <w:t xml:space="preserve"> This was domestically confirmed by the Palestinian Citizenship Order</w:t>
      </w:r>
      <w:r w:rsidR="00F25E93" w:rsidRPr="00100028">
        <w:rPr>
          <w:rFonts w:asciiTheme="majorBidi" w:hAnsiTheme="majorBidi" w:cstheme="majorBidi"/>
          <w:color w:val="000000"/>
          <w:sz w:val="24"/>
          <w:szCs w:val="24"/>
          <w:lang w:val="en-GB"/>
        </w:rPr>
        <w:t>, which was enacted by Britain o</w:t>
      </w:r>
      <w:r w:rsidRPr="00100028">
        <w:rPr>
          <w:rFonts w:asciiTheme="majorBidi" w:hAnsiTheme="majorBidi" w:cstheme="majorBidi"/>
          <w:color w:val="000000"/>
          <w:sz w:val="24"/>
          <w:szCs w:val="24"/>
          <w:lang w:val="en-GB"/>
        </w:rPr>
        <w:t xml:space="preserve">n </w:t>
      </w:r>
      <w:r w:rsidR="00F25E93" w:rsidRPr="00100028">
        <w:rPr>
          <w:rFonts w:asciiTheme="majorBidi" w:hAnsiTheme="majorBidi" w:cstheme="majorBidi"/>
          <w:color w:val="000000"/>
          <w:sz w:val="24"/>
          <w:szCs w:val="24"/>
          <w:lang w:val="en-GB"/>
        </w:rPr>
        <w:t xml:space="preserve">24 July </w:t>
      </w:r>
      <w:r w:rsidRPr="00100028">
        <w:rPr>
          <w:rFonts w:asciiTheme="majorBidi" w:hAnsiTheme="majorBidi" w:cstheme="majorBidi"/>
          <w:color w:val="000000"/>
          <w:sz w:val="24"/>
          <w:szCs w:val="24"/>
          <w:lang w:val="en-GB"/>
        </w:rPr>
        <w:t>1925.</w:t>
      </w:r>
      <w:r w:rsidR="00F25E93" w:rsidRPr="00100028">
        <w:rPr>
          <w:rStyle w:val="FootnoteReference"/>
          <w:rFonts w:asciiTheme="majorBidi" w:hAnsiTheme="majorBidi" w:cstheme="majorBidi"/>
          <w:color w:val="000000"/>
          <w:sz w:val="24"/>
          <w:szCs w:val="24"/>
          <w:lang w:val="en-GB"/>
        </w:rPr>
        <w:footnoteReference w:id="14"/>
      </w:r>
      <w:r w:rsidR="00F25E93" w:rsidRPr="00100028">
        <w:rPr>
          <w:rFonts w:asciiTheme="majorBidi" w:hAnsiTheme="majorBidi" w:cstheme="majorBidi"/>
          <w:color w:val="000000"/>
          <w:sz w:val="24"/>
          <w:szCs w:val="24"/>
          <w:lang w:val="en-GB"/>
        </w:rPr>
        <w:t xml:space="preserve"> The</w:t>
      </w:r>
      <w:r w:rsidR="005D3CE8" w:rsidRPr="00100028">
        <w:rPr>
          <w:rFonts w:asciiTheme="majorBidi" w:hAnsiTheme="majorBidi" w:cstheme="majorBidi"/>
          <w:color w:val="000000"/>
          <w:sz w:val="24"/>
          <w:szCs w:val="24"/>
          <w:lang w:val="en-GB"/>
        </w:rPr>
        <w:t xml:space="preserve"> Order r</w:t>
      </w:r>
      <w:r w:rsidR="00F25E93" w:rsidRPr="00100028">
        <w:rPr>
          <w:rFonts w:asciiTheme="majorBidi" w:hAnsiTheme="majorBidi" w:cstheme="majorBidi"/>
          <w:color w:val="000000"/>
          <w:sz w:val="24"/>
          <w:szCs w:val="24"/>
          <w:lang w:val="en-GB"/>
        </w:rPr>
        <w:t>egulated Palestinian citizenship</w:t>
      </w:r>
      <w:r w:rsidR="005D3CE8" w:rsidRPr="00100028">
        <w:rPr>
          <w:rFonts w:asciiTheme="majorBidi" w:hAnsiTheme="majorBidi" w:cstheme="majorBidi"/>
          <w:color w:val="000000"/>
          <w:sz w:val="24"/>
          <w:szCs w:val="24"/>
          <w:lang w:val="en-GB"/>
        </w:rPr>
        <w:t xml:space="preserve"> until the dissolution of Palestine on 15 May 1948.</w:t>
      </w:r>
      <w:r w:rsidR="005D3CE8" w:rsidRPr="00100028">
        <w:rPr>
          <w:rFonts w:asciiTheme="majorBidi" w:hAnsiTheme="majorBidi" w:cstheme="majorBidi"/>
          <w:sz w:val="24"/>
          <w:szCs w:val="24"/>
          <w:lang w:val="en-GB"/>
        </w:rPr>
        <w:t xml:space="preserve"> </w:t>
      </w:r>
      <w:r w:rsidR="002F0AAF" w:rsidRPr="00100028">
        <w:rPr>
          <w:rFonts w:asciiTheme="majorBidi" w:hAnsiTheme="majorBidi" w:cstheme="majorBidi"/>
          <w:sz w:val="24"/>
          <w:szCs w:val="24"/>
          <w:lang w:val="en-GB"/>
        </w:rPr>
        <w:lastRenderedPageBreak/>
        <w:t>From that date</w:t>
      </w:r>
      <w:r w:rsidR="005D3CE8" w:rsidRPr="00100028">
        <w:rPr>
          <w:rFonts w:asciiTheme="majorBidi" w:hAnsiTheme="majorBidi" w:cstheme="majorBidi"/>
          <w:sz w:val="24"/>
          <w:szCs w:val="24"/>
          <w:lang w:val="en-GB"/>
        </w:rPr>
        <w:t xml:space="preserve"> until now</w:t>
      </w:r>
      <w:r w:rsidR="00A52788" w:rsidRPr="00100028">
        <w:rPr>
          <w:rFonts w:asciiTheme="majorBidi" w:hAnsiTheme="majorBidi" w:cstheme="majorBidi"/>
          <w:sz w:val="24"/>
          <w:szCs w:val="24"/>
          <w:lang w:val="en-GB"/>
        </w:rPr>
        <w:t>, due to the de facto sovere</w:t>
      </w:r>
      <w:r w:rsidR="00B2250E" w:rsidRPr="00100028">
        <w:rPr>
          <w:rFonts w:asciiTheme="majorBidi" w:hAnsiTheme="majorBidi" w:cstheme="majorBidi"/>
          <w:sz w:val="24"/>
          <w:szCs w:val="24"/>
          <w:lang w:val="en-GB"/>
        </w:rPr>
        <w:t>ignties exercised over</w:t>
      </w:r>
      <w:r w:rsidR="002F0AAF" w:rsidRPr="00100028">
        <w:rPr>
          <w:rFonts w:asciiTheme="majorBidi" w:hAnsiTheme="majorBidi" w:cstheme="majorBidi"/>
          <w:sz w:val="24"/>
          <w:szCs w:val="24"/>
          <w:lang w:val="en-GB"/>
        </w:rPr>
        <w:t xml:space="preserve"> the historical Palestine (now Israel, the West Bank</w:t>
      </w:r>
      <w:r w:rsidR="00B2250E" w:rsidRPr="00100028">
        <w:rPr>
          <w:rFonts w:asciiTheme="majorBidi" w:hAnsiTheme="majorBidi" w:cstheme="majorBidi"/>
          <w:sz w:val="24"/>
          <w:szCs w:val="24"/>
          <w:lang w:val="en-GB"/>
        </w:rPr>
        <w:t>,</w:t>
      </w:r>
      <w:r w:rsidR="002F0AAF" w:rsidRPr="00100028">
        <w:rPr>
          <w:rFonts w:asciiTheme="majorBidi" w:hAnsiTheme="majorBidi" w:cstheme="majorBidi"/>
          <w:sz w:val="24"/>
          <w:szCs w:val="24"/>
          <w:lang w:val="en-GB"/>
        </w:rPr>
        <w:t xml:space="preserve"> and Gaza)</w:t>
      </w:r>
      <w:r w:rsidR="00A52788" w:rsidRPr="00100028">
        <w:rPr>
          <w:rFonts w:asciiTheme="majorBidi" w:hAnsiTheme="majorBidi" w:cstheme="majorBidi"/>
          <w:sz w:val="24"/>
          <w:szCs w:val="24"/>
          <w:lang w:val="en-GB"/>
        </w:rPr>
        <w:t xml:space="preserve">, various </w:t>
      </w:r>
      <w:r w:rsidR="005D3CE8" w:rsidRPr="00100028">
        <w:rPr>
          <w:rFonts w:asciiTheme="majorBidi" w:hAnsiTheme="majorBidi" w:cstheme="majorBidi"/>
          <w:sz w:val="24"/>
          <w:szCs w:val="24"/>
          <w:lang w:val="en-GB"/>
        </w:rPr>
        <w:t>statuses have affected</w:t>
      </w:r>
      <w:r w:rsidR="002F0AAF" w:rsidRPr="00100028">
        <w:rPr>
          <w:rFonts w:asciiTheme="majorBidi" w:hAnsiTheme="majorBidi" w:cstheme="majorBidi"/>
          <w:sz w:val="24"/>
          <w:szCs w:val="24"/>
          <w:lang w:val="en-GB"/>
        </w:rPr>
        <w:t xml:space="preserve"> the</w:t>
      </w:r>
      <w:r w:rsidR="00A52788" w:rsidRPr="00100028">
        <w:rPr>
          <w:rFonts w:asciiTheme="majorBidi" w:hAnsiTheme="majorBidi" w:cstheme="majorBidi"/>
          <w:sz w:val="24"/>
          <w:szCs w:val="24"/>
          <w:lang w:val="en-GB"/>
        </w:rPr>
        <w:t xml:space="preserve"> inhabitants. Certain statuses emerged due to the policy pursued and the legislative acts undertaken unilaterally by individual </w:t>
      </w:r>
      <w:r w:rsidR="00FE2B16" w:rsidRPr="00100028">
        <w:rPr>
          <w:rFonts w:asciiTheme="majorBidi" w:hAnsiTheme="majorBidi" w:cstheme="majorBidi"/>
          <w:sz w:val="24"/>
          <w:szCs w:val="24"/>
          <w:lang w:val="en-GB"/>
        </w:rPr>
        <w:t>State</w:t>
      </w:r>
      <w:r w:rsidR="00A52788" w:rsidRPr="00100028">
        <w:rPr>
          <w:rFonts w:asciiTheme="majorBidi" w:hAnsiTheme="majorBidi" w:cstheme="majorBidi"/>
          <w:sz w:val="24"/>
          <w:szCs w:val="24"/>
          <w:lang w:val="en-GB"/>
        </w:rPr>
        <w:t>s, chiefly Israel and Jordan.</w:t>
      </w:r>
    </w:p>
    <w:p w:rsidR="00A52788" w:rsidRPr="00100028" w:rsidRDefault="00A52788" w:rsidP="00100028">
      <w:pPr>
        <w:bidi w:val="0"/>
        <w:jc w:val="both"/>
        <w:rPr>
          <w:rFonts w:asciiTheme="majorBidi" w:hAnsiTheme="majorBidi" w:cstheme="majorBidi"/>
          <w:sz w:val="24"/>
          <w:szCs w:val="24"/>
          <w:lang w:val="en-GB"/>
        </w:rPr>
      </w:pPr>
    </w:p>
    <w:p w:rsidR="00545CA4" w:rsidRPr="00100028" w:rsidRDefault="00545CA4"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The number of</w:t>
      </w:r>
      <w:r w:rsidR="00DA6D8E" w:rsidRPr="00100028">
        <w:rPr>
          <w:rFonts w:asciiTheme="majorBidi" w:hAnsiTheme="majorBidi" w:cstheme="majorBidi"/>
          <w:sz w:val="24"/>
          <w:szCs w:val="24"/>
          <w:lang w:val="en-GB"/>
        </w:rPr>
        <w:t xml:space="preserve"> </w:t>
      </w:r>
      <w:r w:rsidR="00893F12" w:rsidRPr="00100028">
        <w:rPr>
          <w:rFonts w:asciiTheme="majorBidi" w:hAnsiTheme="majorBidi" w:cstheme="majorBidi"/>
          <w:sz w:val="24"/>
          <w:szCs w:val="24"/>
          <w:lang w:val="en-GB"/>
        </w:rPr>
        <w:t>“</w:t>
      </w:r>
      <w:r w:rsidR="00A52788" w:rsidRPr="00100028">
        <w:rPr>
          <w:rFonts w:asciiTheme="majorBidi" w:hAnsiTheme="majorBidi" w:cstheme="majorBidi"/>
          <w:sz w:val="24"/>
          <w:szCs w:val="24"/>
          <w:lang w:val="en-GB"/>
        </w:rPr>
        <w:t>Palestinians</w:t>
      </w:r>
      <w:r w:rsidR="009C63C1" w:rsidRPr="00100028">
        <w:rPr>
          <w:rFonts w:asciiTheme="majorBidi" w:hAnsiTheme="majorBidi" w:cstheme="majorBidi"/>
          <w:sz w:val="24"/>
          <w:szCs w:val="24"/>
          <w:lang w:val="en-GB"/>
        </w:rPr>
        <w:t>”</w:t>
      </w:r>
      <w:r w:rsidR="00DA6D8E" w:rsidRPr="00100028">
        <w:rPr>
          <w:rFonts w:asciiTheme="majorBidi" w:hAnsiTheme="majorBidi" w:cstheme="majorBidi"/>
          <w:sz w:val="24"/>
          <w:szCs w:val="24"/>
          <w:lang w:val="en-GB"/>
        </w:rPr>
        <w:t xml:space="preserve"> </w:t>
      </w:r>
      <w:r w:rsidRPr="00100028">
        <w:rPr>
          <w:rFonts w:asciiTheme="majorBidi" w:hAnsiTheme="majorBidi" w:cstheme="majorBidi"/>
          <w:sz w:val="24"/>
          <w:szCs w:val="24"/>
          <w:lang w:val="en-GB"/>
        </w:rPr>
        <w:t xml:space="preserve">worldwide </w:t>
      </w:r>
      <w:r w:rsidR="00557FC9" w:rsidRPr="00100028">
        <w:rPr>
          <w:rFonts w:asciiTheme="majorBidi" w:hAnsiTheme="majorBidi" w:cstheme="majorBidi"/>
          <w:sz w:val="24"/>
          <w:szCs w:val="24"/>
          <w:lang w:val="en-GB"/>
        </w:rPr>
        <w:t xml:space="preserve">amounts </w:t>
      </w:r>
      <w:r w:rsidR="0054414C" w:rsidRPr="00100028">
        <w:rPr>
          <w:rFonts w:asciiTheme="majorBidi" w:hAnsiTheme="majorBidi" w:cstheme="majorBidi"/>
          <w:sz w:val="24"/>
          <w:szCs w:val="24"/>
          <w:lang w:val="en-GB"/>
        </w:rPr>
        <w:t>to</w:t>
      </w:r>
      <w:r w:rsidR="00AA141F" w:rsidRPr="00100028">
        <w:rPr>
          <w:rFonts w:asciiTheme="majorBidi" w:hAnsiTheme="majorBidi" w:cstheme="majorBidi"/>
          <w:sz w:val="24"/>
          <w:szCs w:val="24"/>
          <w:lang w:val="en-GB"/>
        </w:rPr>
        <w:t xml:space="preserve"> 12</w:t>
      </w:r>
      <w:r w:rsidR="00557FC9" w:rsidRPr="00100028">
        <w:rPr>
          <w:rFonts w:asciiTheme="majorBidi" w:hAnsiTheme="majorBidi" w:cstheme="majorBidi"/>
          <w:sz w:val="24"/>
          <w:szCs w:val="24"/>
          <w:lang w:val="en-GB"/>
        </w:rPr>
        <w:t xml:space="preserve"> million </w:t>
      </w:r>
      <w:r w:rsidR="00AD51FD" w:rsidRPr="00100028">
        <w:rPr>
          <w:rFonts w:asciiTheme="majorBidi" w:hAnsiTheme="majorBidi" w:cstheme="majorBidi"/>
          <w:sz w:val="24"/>
          <w:szCs w:val="24"/>
          <w:lang w:val="en-GB"/>
        </w:rPr>
        <w:t xml:space="preserve">individuals </w:t>
      </w:r>
      <w:r w:rsidR="0054414C" w:rsidRPr="00100028">
        <w:rPr>
          <w:rFonts w:asciiTheme="majorBidi" w:hAnsiTheme="majorBidi" w:cstheme="majorBidi"/>
          <w:sz w:val="24"/>
          <w:szCs w:val="24"/>
          <w:lang w:val="en-GB"/>
        </w:rPr>
        <w:t>in</w:t>
      </w:r>
      <w:r w:rsidR="00AA141F" w:rsidRPr="00100028">
        <w:rPr>
          <w:rFonts w:asciiTheme="majorBidi" w:hAnsiTheme="majorBidi" w:cstheme="majorBidi"/>
          <w:sz w:val="24"/>
          <w:szCs w:val="24"/>
          <w:lang w:val="en-GB"/>
        </w:rPr>
        <w:t xml:space="preserve"> </w:t>
      </w:r>
      <w:r w:rsidR="00557FC9" w:rsidRPr="00100028">
        <w:rPr>
          <w:rFonts w:asciiTheme="majorBidi" w:hAnsiTheme="majorBidi" w:cstheme="majorBidi"/>
          <w:sz w:val="24"/>
          <w:szCs w:val="24"/>
          <w:lang w:val="en-GB"/>
        </w:rPr>
        <w:t>2015</w:t>
      </w:r>
      <w:r w:rsidRPr="00100028">
        <w:rPr>
          <w:rFonts w:asciiTheme="majorBidi" w:hAnsiTheme="majorBidi" w:cstheme="majorBidi"/>
          <w:sz w:val="24"/>
          <w:szCs w:val="24"/>
          <w:lang w:val="en-GB"/>
        </w:rPr>
        <w:t xml:space="preserve"> according to</w:t>
      </w:r>
      <w:r w:rsidR="00917D1D" w:rsidRPr="00100028">
        <w:rPr>
          <w:rFonts w:asciiTheme="majorBidi" w:hAnsiTheme="majorBidi" w:cstheme="majorBidi"/>
          <w:sz w:val="24"/>
          <w:szCs w:val="24"/>
          <w:lang w:val="en-GB"/>
        </w:rPr>
        <w:t xml:space="preserve"> the Palestinian Central Bureau of Statistics (PCBS)</w:t>
      </w:r>
      <w:r w:rsidRPr="00100028">
        <w:rPr>
          <w:rFonts w:asciiTheme="majorBidi" w:hAnsiTheme="majorBidi" w:cstheme="majorBidi"/>
          <w:sz w:val="24"/>
          <w:szCs w:val="24"/>
          <w:lang w:val="en-GB"/>
        </w:rPr>
        <w:t>.</w:t>
      </w:r>
      <w:r w:rsidR="00557FC9" w:rsidRPr="00100028">
        <w:rPr>
          <w:rStyle w:val="FootnoteReference"/>
          <w:rFonts w:asciiTheme="majorBidi" w:hAnsiTheme="majorBidi" w:cstheme="majorBidi"/>
          <w:sz w:val="24"/>
          <w:szCs w:val="24"/>
          <w:lang w:val="en-GB"/>
        </w:rPr>
        <w:footnoteReference w:id="15"/>
      </w:r>
      <w:r w:rsidRPr="00100028">
        <w:rPr>
          <w:rFonts w:asciiTheme="majorBidi" w:hAnsiTheme="majorBidi" w:cstheme="majorBidi"/>
          <w:sz w:val="24"/>
          <w:szCs w:val="24"/>
          <w:lang w:val="en-GB"/>
        </w:rPr>
        <w:t xml:space="preserve"> People who relate to </w:t>
      </w:r>
      <w:r w:rsidR="00AD51FD" w:rsidRPr="00100028">
        <w:rPr>
          <w:rFonts w:asciiTheme="majorBidi" w:hAnsiTheme="majorBidi" w:cstheme="majorBidi"/>
          <w:sz w:val="24"/>
          <w:szCs w:val="24"/>
          <w:lang w:val="en-GB"/>
        </w:rPr>
        <w:t xml:space="preserve">the historical </w:t>
      </w:r>
      <w:r w:rsidRPr="00100028">
        <w:rPr>
          <w:rFonts w:asciiTheme="majorBidi" w:hAnsiTheme="majorBidi" w:cstheme="majorBidi"/>
          <w:sz w:val="24"/>
          <w:szCs w:val="24"/>
          <w:lang w:val="en-GB"/>
        </w:rPr>
        <w:t>Palestine may be divided, in terms of citizenship features shared by each group</w:t>
      </w:r>
      <w:r w:rsidR="00F130C3"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s members, into three broad categories: (1) the inhabitants of the occupied Palestinian territory,</w:t>
      </w:r>
      <w:r w:rsidR="00AD51FD" w:rsidRPr="00100028">
        <w:rPr>
          <w:rFonts w:asciiTheme="majorBidi" w:hAnsiTheme="majorBidi" w:cstheme="majorBidi"/>
          <w:sz w:val="24"/>
          <w:szCs w:val="24"/>
          <w:lang w:val="en-GB"/>
        </w:rPr>
        <w:t xml:space="preserve"> namely</w:t>
      </w:r>
      <w:r w:rsidRPr="00100028">
        <w:rPr>
          <w:rFonts w:asciiTheme="majorBidi" w:hAnsiTheme="majorBidi" w:cstheme="majorBidi"/>
          <w:sz w:val="24"/>
          <w:szCs w:val="24"/>
          <w:lang w:val="en-GB"/>
        </w:rPr>
        <w:t xml:space="preserve"> the West Bank</w:t>
      </w:r>
      <w:r w:rsidR="0054414C" w:rsidRPr="00100028">
        <w:rPr>
          <w:rFonts w:asciiTheme="majorBidi" w:hAnsiTheme="majorBidi" w:cstheme="majorBidi"/>
          <w:sz w:val="24"/>
          <w:szCs w:val="24"/>
          <w:lang w:val="en-GB"/>
        </w:rPr>
        <w:t>,</w:t>
      </w:r>
      <w:r w:rsidR="00AD51FD" w:rsidRPr="00100028">
        <w:rPr>
          <w:rFonts w:asciiTheme="majorBidi" w:hAnsiTheme="majorBidi" w:cstheme="majorBidi"/>
          <w:sz w:val="24"/>
          <w:szCs w:val="24"/>
          <w:lang w:val="en-GB"/>
        </w:rPr>
        <w:t xml:space="preserve"> including East Jerusalem</w:t>
      </w:r>
      <w:r w:rsidR="0054414C"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 xml:space="preserve"> and the Gaza Strip; (2) Palestinian refugees who voluntarily left or were forced to leave their homes in the area of Mandate Palestine in which Israel had been established; and (3) the inhabitants of Israel. Each of these groups comprises sub-groups.</w:t>
      </w:r>
    </w:p>
    <w:p w:rsidR="00545CA4" w:rsidRPr="00100028" w:rsidRDefault="00545CA4" w:rsidP="00100028">
      <w:pPr>
        <w:bidi w:val="0"/>
        <w:jc w:val="both"/>
        <w:rPr>
          <w:rFonts w:asciiTheme="majorBidi" w:hAnsiTheme="majorBidi" w:cstheme="majorBidi"/>
          <w:sz w:val="24"/>
          <w:szCs w:val="24"/>
          <w:lang w:val="en-GB"/>
        </w:rPr>
      </w:pPr>
    </w:p>
    <w:p w:rsidR="003D7973" w:rsidRPr="00100028" w:rsidRDefault="00545CA4"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T</w:t>
      </w:r>
      <w:r w:rsidR="000A6FF3" w:rsidRPr="00100028">
        <w:rPr>
          <w:rFonts w:asciiTheme="majorBidi" w:hAnsiTheme="majorBidi" w:cstheme="majorBidi"/>
          <w:sz w:val="24"/>
          <w:szCs w:val="24"/>
          <w:lang w:val="en-GB"/>
        </w:rPr>
        <w:t>his paper</w:t>
      </w:r>
      <w:r w:rsidRPr="00100028">
        <w:rPr>
          <w:rFonts w:asciiTheme="majorBidi" w:hAnsiTheme="majorBidi" w:cstheme="majorBidi"/>
          <w:sz w:val="24"/>
          <w:szCs w:val="24"/>
          <w:lang w:val="en-GB"/>
        </w:rPr>
        <w:t xml:space="preserve"> will not address the status </w:t>
      </w:r>
      <w:r w:rsidR="00AD51FD" w:rsidRPr="00100028">
        <w:rPr>
          <w:rFonts w:asciiTheme="majorBidi" w:hAnsiTheme="majorBidi" w:cstheme="majorBidi"/>
          <w:sz w:val="24"/>
          <w:szCs w:val="24"/>
          <w:lang w:val="en-GB"/>
        </w:rPr>
        <w:t>of all these persons. It is</w:t>
      </w:r>
      <w:r w:rsidRPr="00100028">
        <w:rPr>
          <w:rFonts w:asciiTheme="majorBidi" w:hAnsiTheme="majorBidi" w:cstheme="majorBidi"/>
          <w:sz w:val="24"/>
          <w:szCs w:val="24"/>
          <w:lang w:val="en-GB"/>
        </w:rPr>
        <w:t xml:space="preserve"> rather confined to individuals related to the scope of the current </w:t>
      </w:r>
      <w:r w:rsidR="00AD51FD" w:rsidRPr="00100028">
        <w:rPr>
          <w:rFonts w:asciiTheme="majorBidi" w:hAnsiTheme="majorBidi" w:cstheme="majorBidi"/>
          <w:sz w:val="24"/>
          <w:szCs w:val="24"/>
          <w:lang w:val="en-GB"/>
        </w:rPr>
        <w:t xml:space="preserve">1967 occupied </w:t>
      </w:r>
      <w:r w:rsidRPr="00100028">
        <w:rPr>
          <w:rFonts w:asciiTheme="majorBidi" w:hAnsiTheme="majorBidi" w:cstheme="majorBidi"/>
          <w:sz w:val="24"/>
          <w:szCs w:val="24"/>
          <w:lang w:val="en-GB"/>
        </w:rPr>
        <w:t>State of Palestine,</w:t>
      </w:r>
      <w:r w:rsidR="00AD51FD" w:rsidRPr="00100028">
        <w:rPr>
          <w:rFonts w:asciiTheme="majorBidi" w:hAnsiTheme="majorBidi" w:cstheme="majorBidi"/>
          <w:sz w:val="24"/>
          <w:szCs w:val="24"/>
          <w:lang w:val="en-GB"/>
        </w:rPr>
        <w:t xml:space="preserve"> namely the West Bank and Gaza. </w:t>
      </w:r>
      <w:r w:rsidR="003D7973" w:rsidRPr="00100028">
        <w:rPr>
          <w:rFonts w:asciiTheme="majorBidi" w:hAnsiTheme="majorBidi" w:cstheme="majorBidi"/>
          <w:sz w:val="24"/>
          <w:szCs w:val="24"/>
          <w:lang w:val="en-GB"/>
        </w:rPr>
        <w:t xml:space="preserve">The number of Palestinians </w:t>
      </w:r>
      <w:r w:rsidR="00AD51FD" w:rsidRPr="00100028">
        <w:rPr>
          <w:rFonts w:asciiTheme="majorBidi" w:hAnsiTheme="majorBidi" w:cstheme="majorBidi"/>
          <w:sz w:val="24"/>
          <w:szCs w:val="24"/>
          <w:lang w:val="en-GB"/>
        </w:rPr>
        <w:t xml:space="preserve">residing in the occupied territory totals </w:t>
      </w:r>
      <w:r w:rsidR="003D7973" w:rsidRPr="00100028">
        <w:rPr>
          <w:rFonts w:asciiTheme="majorBidi" w:hAnsiTheme="majorBidi" w:cstheme="majorBidi"/>
          <w:sz w:val="24"/>
          <w:szCs w:val="24"/>
          <w:lang w:val="en-GB"/>
        </w:rPr>
        <w:t>4.62 million</w:t>
      </w:r>
      <w:r w:rsidR="00AD51FD" w:rsidRPr="00100028">
        <w:rPr>
          <w:rFonts w:asciiTheme="majorBidi" w:hAnsiTheme="majorBidi" w:cstheme="majorBidi"/>
          <w:sz w:val="24"/>
          <w:szCs w:val="24"/>
          <w:lang w:val="en-GB"/>
        </w:rPr>
        <w:t xml:space="preserve"> at the end of 2014</w:t>
      </w:r>
      <w:r w:rsidR="003D7973" w:rsidRPr="00100028">
        <w:rPr>
          <w:rFonts w:asciiTheme="majorBidi" w:hAnsiTheme="majorBidi" w:cstheme="majorBidi"/>
          <w:sz w:val="24"/>
          <w:szCs w:val="24"/>
          <w:lang w:val="en-GB"/>
        </w:rPr>
        <w:t>.</w:t>
      </w:r>
      <w:r w:rsidR="00AD51FD" w:rsidRPr="00100028">
        <w:rPr>
          <w:rStyle w:val="FootnoteReference"/>
          <w:rFonts w:asciiTheme="majorBidi" w:hAnsiTheme="majorBidi" w:cstheme="majorBidi"/>
          <w:sz w:val="24"/>
          <w:szCs w:val="24"/>
          <w:lang w:val="en-GB"/>
        </w:rPr>
        <w:footnoteReference w:id="16"/>
      </w:r>
      <w:r w:rsidR="003D7973" w:rsidRPr="00100028">
        <w:rPr>
          <w:rFonts w:asciiTheme="majorBidi" w:hAnsiTheme="majorBidi" w:cstheme="majorBidi"/>
          <w:sz w:val="24"/>
          <w:szCs w:val="24"/>
          <w:lang w:val="en-GB"/>
        </w:rPr>
        <w:t xml:space="preserve"> Although they </w:t>
      </w:r>
      <w:r w:rsidR="00AD51FD" w:rsidRPr="00100028">
        <w:rPr>
          <w:rFonts w:asciiTheme="majorBidi" w:hAnsiTheme="majorBidi" w:cstheme="majorBidi"/>
          <w:sz w:val="24"/>
          <w:szCs w:val="24"/>
          <w:lang w:val="en-GB"/>
        </w:rPr>
        <w:t xml:space="preserve">all </w:t>
      </w:r>
      <w:r w:rsidR="0054414C" w:rsidRPr="00100028">
        <w:rPr>
          <w:rFonts w:asciiTheme="majorBidi" w:hAnsiTheme="majorBidi" w:cstheme="majorBidi"/>
          <w:sz w:val="24"/>
          <w:szCs w:val="24"/>
          <w:lang w:val="en-GB"/>
        </w:rPr>
        <w:t>linked to</w:t>
      </w:r>
      <w:r w:rsidR="00BA24F6" w:rsidRPr="00100028">
        <w:rPr>
          <w:rFonts w:asciiTheme="majorBidi" w:hAnsiTheme="majorBidi" w:cstheme="majorBidi"/>
          <w:sz w:val="24"/>
          <w:szCs w:val="24"/>
          <w:lang w:val="en-GB"/>
        </w:rPr>
        <w:t xml:space="preserve"> </w:t>
      </w:r>
      <w:r w:rsidR="00AD51FD" w:rsidRPr="00100028">
        <w:rPr>
          <w:rFonts w:asciiTheme="majorBidi" w:hAnsiTheme="majorBidi" w:cstheme="majorBidi"/>
          <w:sz w:val="24"/>
          <w:szCs w:val="24"/>
          <w:lang w:val="en-GB"/>
        </w:rPr>
        <w:t>the same territory that was occupied by Israel in 1967</w:t>
      </w:r>
      <w:r w:rsidR="003D7973" w:rsidRPr="00100028">
        <w:rPr>
          <w:rFonts w:asciiTheme="majorBidi" w:hAnsiTheme="majorBidi" w:cstheme="majorBidi"/>
          <w:sz w:val="24"/>
          <w:szCs w:val="24"/>
          <w:lang w:val="en-GB"/>
        </w:rPr>
        <w:t xml:space="preserve"> and despite having one status under international law, their status </w:t>
      </w:r>
      <w:r w:rsidR="00391458" w:rsidRPr="00100028">
        <w:rPr>
          <w:rFonts w:asciiTheme="majorBidi" w:hAnsiTheme="majorBidi" w:cstheme="majorBidi"/>
          <w:sz w:val="24"/>
          <w:szCs w:val="24"/>
          <w:lang w:val="en-GB"/>
        </w:rPr>
        <w:t>as defined by</w:t>
      </w:r>
      <w:r w:rsidR="003D7973" w:rsidRPr="00100028">
        <w:rPr>
          <w:rFonts w:asciiTheme="majorBidi" w:hAnsiTheme="majorBidi" w:cstheme="majorBidi"/>
          <w:sz w:val="24"/>
          <w:szCs w:val="24"/>
          <w:lang w:val="en-GB"/>
        </w:rPr>
        <w:t xml:space="preserve"> the</w:t>
      </w:r>
      <w:r w:rsidR="00BA24F6" w:rsidRPr="00100028">
        <w:rPr>
          <w:rFonts w:asciiTheme="majorBidi" w:hAnsiTheme="majorBidi" w:cstheme="majorBidi"/>
          <w:sz w:val="24"/>
          <w:szCs w:val="24"/>
          <w:lang w:val="en-GB"/>
        </w:rPr>
        <w:t xml:space="preserve"> authorities </w:t>
      </w:r>
      <w:r w:rsidR="00391458" w:rsidRPr="00100028">
        <w:rPr>
          <w:rFonts w:asciiTheme="majorBidi" w:hAnsiTheme="majorBidi" w:cstheme="majorBidi"/>
          <w:sz w:val="24"/>
          <w:szCs w:val="24"/>
          <w:lang w:val="en-GB"/>
        </w:rPr>
        <w:t xml:space="preserve">exercising powers </w:t>
      </w:r>
      <w:r w:rsidR="00BA24F6" w:rsidRPr="00100028">
        <w:rPr>
          <w:rFonts w:asciiTheme="majorBidi" w:hAnsiTheme="majorBidi" w:cstheme="majorBidi"/>
          <w:sz w:val="24"/>
          <w:szCs w:val="24"/>
          <w:lang w:val="en-GB"/>
        </w:rPr>
        <w:t xml:space="preserve">in </w:t>
      </w:r>
      <w:r w:rsidR="00391458" w:rsidRPr="00100028">
        <w:rPr>
          <w:rFonts w:asciiTheme="majorBidi" w:hAnsiTheme="majorBidi" w:cstheme="majorBidi"/>
          <w:sz w:val="24"/>
          <w:szCs w:val="24"/>
          <w:lang w:val="en-GB"/>
        </w:rPr>
        <w:t xml:space="preserve">the </w:t>
      </w:r>
      <w:r w:rsidR="00BA24F6" w:rsidRPr="00100028">
        <w:rPr>
          <w:rFonts w:asciiTheme="majorBidi" w:hAnsiTheme="majorBidi" w:cstheme="majorBidi"/>
          <w:sz w:val="24"/>
          <w:szCs w:val="24"/>
          <w:lang w:val="en-GB"/>
        </w:rPr>
        <w:t>three</w:t>
      </w:r>
      <w:r w:rsidR="003D7973" w:rsidRPr="00100028">
        <w:rPr>
          <w:rFonts w:asciiTheme="majorBidi" w:hAnsiTheme="majorBidi" w:cstheme="majorBidi"/>
          <w:sz w:val="24"/>
          <w:szCs w:val="24"/>
          <w:lang w:val="en-GB"/>
        </w:rPr>
        <w:t xml:space="preserve"> areas in which they reside </w:t>
      </w:r>
      <w:r w:rsidR="00BA24F6" w:rsidRPr="00100028">
        <w:rPr>
          <w:rFonts w:asciiTheme="majorBidi" w:hAnsiTheme="majorBidi" w:cstheme="majorBidi"/>
          <w:sz w:val="24"/>
          <w:szCs w:val="24"/>
          <w:lang w:val="en-GB"/>
        </w:rPr>
        <w:t xml:space="preserve">since May 1948 </w:t>
      </w:r>
      <w:r w:rsidR="00391458" w:rsidRPr="00100028">
        <w:rPr>
          <w:rFonts w:asciiTheme="majorBidi" w:hAnsiTheme="majorBidi" w:cstheme="majorBidi"/>
          <w:sz w:val="24"/>
          <w:szCs w:val="24"/>
          <w:lang w:val="en-GB"/>
        </w:rPr>
        <w:t xml:space="preserve">(West Bank, Gaza, and East Jerusalem) </w:t>
      </w:r>
      <w:r w:rsidR="003D7973" w:rsidRPr="00100028">
        <w:rPr>
          <w:rFonts w:asciiTheme="majorBidi" w:hAnsiTheme="majorBidi" w:cstheme="majorBidi"/>
          <w:sz w:val="24"/>
          <w:szCs w:val="24"/>
          <w:lang w:val="en-GB"/>
        </w:rPr>
        <w:t>is different. Displaced persons</w:t>
      </w:r>
      <w:r w:rsidR="008F46A0" w:rsidRPr="00100028">
        <w:rPr>
          <w:rFonts w:asciiTheme="majorBidi" w:hAnsiTheme="majorBidi" w:cstheme="majorBidi"/>
          <w:sz w:val="24"/>
          <w:szCs w:val="24"/>
          <w:lang w:val="en-GB"/>
        </w:rPr>
        <w:t xml:space="preserve"> from the </w:t>
      </w:r>
      <w:r w:rsidR="00391458" w:rsidRPr="00100028">
        <w:rPr>
          <w:rFonts w:asciiTheme="majorBidi" w:hAnsiTheme="majorBidi" w:cstheme="majorBidi"/>
          <w:sz w:val="24"/>
          <w:szCs w:val="24"/>
          <w:lang w:val="en-GB"/>
        </w:rPr>
        <w:t xml:space="preserve">1967 </w:t>
      </w:r>
      <w:r w:rsidR="00BA24F6" w:rsidRPr="00100028">
        <w:rPr>
          <w:rFonts w:asciiTheme="majorBidi" w:hAnsiTheme="majorBidi" w:cstheme="majorBidi"/>
          <w:sz w:val="24"/>
          <w:szCs w:val="24"/>
          <w:lang w:val="en-GB"/>
        </w:rPr>
        <w:t>occupied</w:t>
      </w:r>
      <w:r w:rsidR="00480816" w:rsidRPr="00100028">
        <w:rPr>
          <w:rFonts w:asciiTheme="majorBidi" w:hAnsiTheme="majorBidi" w:cstheme="majorBidi"/>
          <w:sz w:val="24"/>
          <w:szCs w:val="24"/>
          <w:lang w:val="en-GB"/>
        </w:rPr>
        <w:t xml:space="preserve"> territ</w:t>
      </w:r>
      <w:r w:rsidR="008F46A0" w:rsidRPr="00100028">
        <w:rPr>
          <w:rFonts w:asciiTheme="majorBidi" w:hAnsiTheme="majorBidi" w:cstheme="majorBidi"/>
          <w:sz w:val="24"/>
          <w:szCs w:val="24"/>
          <w:lang w:val="en-GB"/>
        </w:rPr>
        <w:t>ory</w:t>
      </w:r>
      <w:r w:rsidR="00BA24F6" w:rsidRPr="00100028">
        <w:rPr>
          <w:rFonts w:asciiTheme="majorBidi" w:hAnsiTheme="majorBidi" w:cstheme="majorBidi"/>
          <w:sz w:val="24"/>
          <w:szCs w:val="24"/>
          <w:lang w:val="en-GB"/>
        </w:rPr>
        <w:t xml:space="preserve"> have also a status linked</w:t>
      </w:r>
      <w:r w:rsidR="008F46A0" w:rsidRPr="00100028">
        <w:rPr>
          <w:rFonts w:asciiTheme="majorBidi" w:hAnsiTheme="majorBidi" w:cstheme="majorBidi"/>
          <w:sz w:val="24"/>
          <w:szCs w:val="24"/>
          <w:lang w:val="en-GB"/>
        </w:rPr>
        <w:t xml:space="preserve"> to the territory, but they</w:t>
      </w:r>
      <w:r w:rsidR="00BA24F6" w:rsidRPr="00100028">
        <w:rPr>
          <w:rFonts w:asciiTheme="majorBidi" w:hAnsiTheme="majorBidi" w:cstheme="majorBidi"/>
          <w:sz w:val="24"/>
          <w:szCs w:val="24"/>
          <w:lang w:val="en-GB"/>
        </w:rPr>
        <w:t xml:space="preserve"> acquired a status in their current areas of residence abroad.</w:t>
      </w:r>
      <w:r w:rsidR="00480816" w:rsidRPr="00100028">
        <w:rPr>
          <w:rFonts w:asciiTheme="majorBidi" w:hAnsiTheme="majorBidi" w:cstheme="majorBidi"/>
          <w:sz w:val="24"/>
          <w:szCs w:val="24"/>
          <w:lang w:val="en-GB"/>
        </w:rPr>
        <w:t xml:space="preserve"> </w:t>
      </w:r>
      <w:r w:rsidR="00BA24F6" w:rsidRPr="00100028">
        <w:rPr>
          <w:rFonts w:asciiTheme="majorBidi" w:hAnsiTheme="majorBidi" w:cstheme="majorBidi"/>
          <w:sz w:val="24"/>
          <w:szCs w:val="24"/>
          <w:lang w:val="en-GB"/>
        </w:rPr>
        <w:t>Each of these four groups (West Bank</w:t>
      </w:r>
      <w:r w:rsidR="00391458" w:rsidRPr="00100028">
        <w:rPr>
          <w:rFonts w:asciiTheme="majorBidi" w:hAnsiTheme="majorBidi" w:cstheme="majorBidi"/>
          <w:sz w:val="24"/>
          <w:szCs w:val="24"/>
          <w:lang w:val="en-GB"/>
        </w:rPr>
        <w:t>ers</w:t>
      </w:r>
      <w:r w:rsidR="00BA24F6" w:rsidRPr="00100028">
        <w:rPr>
          <w:rFonts w:asciiTheme="majorBidi" w:hAnsiTheme="majorBidi" w:cstheme="majorBidi"/>
          <w:sz w:val="24"/>
          <w:szCs w:val="24"/>
          <w:lang w:val="en-GB"/>
        </w:rPr>
        <w:t>, Gaza</w:t>
      </w:r>
      <w:r w:rsidR="00391458" w:rsidRPr="00100028">
        <w:rPr>
          <w:rFonts w:asciiTheme="majorBidi" w:hAnsiTheme="majorBidi" w:cstheme="majorBidi"/>
          <w:sz w:val="24"/>
          <w:szCs w:val="24"/>
          <w:lang w:val="en-GB"/>
        </w:rPr>
        <w:t>ns</w:t>
      </w:r>
      <w:r w:rsidR="00BA24F6" w:rsidRPr="00100028">
        <w:rPr>
          <w:rFonts w:asciiTheme="majorBidi" w:hAnsiTheme="majorBidi" w:cstheme="majorBidi"/>
          <w:sz w:val="24"/>
          <w:szCs w:val="24"/>
          <w:lang w:val="en-GB"/>
        </w:rPr>
        <w:t xml:space="preserve">, </w:t>
      </w:r>
      <w:r w:rsidR="00391458" w:rsidRPr="00100028">
        <w:rPr>
          <w:rFonts w:asciiTheme="majorBidi" w:hAnsiTheme="majorBidi" w:cstheme="majorBidi"/>
          <w:sz w:val="24"/>
          <w:szCs w:val="24"/>
          <w:lang w:val="en-GB"/>
        </w:rPr>
        <w:t xml:space="preserve">East </w:t>
      </w:r>
      <w:r w:rsidR="00BA24F6" w:rsidRPr="00100028">
        <w:rPr>
          <w:rFonts w:asciiTheme="majorBidi" w:hAnsiTheme="majorBidi" w:cstheme="majorBidi"/>
          <w:sz w:val="24"/>
          <w:szCs w:val="24"/>
          <w:lang w:val="en-GB"/>
        </w:rPr>
        <w:t>Jerusalem</w:t>
      </w:r>
      <w:r w:rsidR="00391458" w:rsidRPr="00100028">
        <w:rPr>
          <w:rFonts w:asciiTheme="majorBidi" w:hAnsiTheme="majorBidi" w:cstheme="majorBidi"/>
          <w:sz w:val="24"/>
          <w:szCs w:val="24"/>
          <w:lang w:val="en-GB"/>
        </w:rPr>
        <w:t>ites</w:t>
      </w:r>
      <w:r w:rsidR="00BA24F6" w:rsidRPr="00100028">
        <w:rPr>
          <w:rFonts w:asciiTheme="majorBidi" w:hAnsiTheme="majorBidi" w:cstheme="majorBidi"/>
          <w:sz w:val="24"/>
          <w:szCs w:val="24"/>
          <w:lang w:val="en-GB"/>
        </w:rPr>
        <w:t>, and displaced persons) will be addressed</w:t>
      </w:r>
      <w:r w:rsidR="008F46A0" w:rsidRPr="00100028">
        <w:rPr>
          <w:rFonts w:asciiTheme="majorBidi" w:hAnsiTheme="majorBidi" w:cstheme="majorBidi"/>
          <w:sz w:val="24"/>
          <w:szCs w:val="24"/>
          <w:lang w:val="en-GB"/>
        </w:rPr>
        <w:t xml:space="preserve"> in four consecutive </w:t>
      </w:r>
      <w:r w:rsidR="00BA24F6" w:rsidRPr="00100028">
        <w:rPr>
          <w:rFonts w:asciiTheme="majorBidi" w:hAnsiTheme="majorBidi" w:cstheme="majorBidi"/>
          <w:sz w:val="24"/>
          <w:szCs w:val="24"/>
          <w:lang w:val="en-GB"/>
        </w:rPr>
        <w:t>section</w:t>
      </w:r>
      <w:r w:rsidR="008F46A0" w:rsidRPr="00100028">
        <w:rPr>
          <w:rFonts w:asciiTheme="majorBidi" w:hAnsiTheme="majorBidi" w:cstheme="majorBidi"/>
          <w:sz w:val="24"/>
          <w:szCs w:val="24"/>
          <w:lang w:val="en-GB"/>
        </w:rPr>
        <w:t>s</w:t>
      </w:r>
      <w:r w:rsidR="00BA24F6" w:rsidRPr="00100028">
        <w:rPr>
          <w:rFonts w:asciiTheme="majorBidi" w:hAnsiTheme="majorBidi" w:cstheme="majorBidi"/>
          <w:sz w:val="24"/>
          <w:szCs w:val="24"/>
          <w:lang w:val="en-GB"/>
        </w:rPr>
        <w:t>. A</w:t>
      </w:r>
      <w:r w:rsidR="008F46A0" w:rsidRPr="00100028">
        <w:rPr>
          <w:rFonts w:asciiTheme="majorBidi" w:hAnsiTheme="majorBidi" w:cstheme="majorBidi"/>
          <w:sz w:val="24"/>
          <w:szCs w:val="24"/>
          <w:lang w:val="en-GB"/>
        </w:rPr>
        <w:t>n additional</w:t>
      </w:r>
      <w:r w:rsidR="00BA24F6" w:rsidRPr="00100028">
        <w:rPr>
          <w:rFonts w:asciiTheme="majorBidi" w:hAnsiTheme="majorBidi" w:cstheme="majorBidi"/>
          <w:sz w:val="24"/>
          <w:szCs w:val="24"/>
          <w:lang w:val="en-GB"/>
        </w:rPr>
        <w:t xml:space="preserve"> group residing in the 1967 </w:t>
      </w:r>
      <w:r w:rsidR="00391458" w:rsidRPr="00100028">
        <w:rPr>
          <w:rFonts w:asciiTheme="majorBidi" w:hAnsiTheme="majorBidi" w:cstheme="majorBidi"/>
          <w:sz w:val="24"/>
          <w:szCs w:val="24"/>
          <w:lang w:val="en-GB"/>
        </w:rPr>
        <w:t>territories, namely individuals</w:t>
      </w:r>
      <w:r w:rsidR="00BA24F6" w:rsidRPr="00100028">
        <w:rPr>
          <w:rFonts w:asciiTheme="majorBidi" w:hAnsiTheme="majorBidi" w:cstheme="majorBidi"/>
          <w:sz w:val="24"/>
          <w:szCs w:val="24"/>
          <w:lang w:val="en-GB"/>
        </w:rPr>
        <w:t xml:space="preserve"> who arrived therein from the territory of Israel, will be discussed</w:t>
      </w:r>
      <w:r w:rsidR="008F46A0" w:rsidRPr="00100028">
        <w:rPr>
          <w:rFonts w:asciiTheme="majorBidi" w:hAnsiTheme="majorBidi" w:cstheme="majorBidi"/>
          <w:sz w:val="24"/>
          <w:szCs w:val="24"/>
          <w:lang w:val="en-GB"/>
        </w:rPr>
        <w:t xml:space="preserve"> in the fifth section</w:t>
      </w:r>
      <w:r w:rsidR="00BA24F6" w:rsidRPr="00100028">
        <w:rPr>
          <w:rFonts w:asciiTheme="majorBidi" w:hAnsiTheme="majorBidi" w:cstheme="majorBidi"/>
          <w:sz w:val="24"/>
          <w:szCs w:val="24"/>
          <w:lang w:val="en-GB"/>
        </w:rPr>
        <w:t>.</w:t>
      </w:r>
      <w:r w:rsidR="00BA24F6" w:rsidRPr="00100028">
        <w:rPr>
          <w:rStyle w:val="FootnoteReference"/>
          <w:rFonts w:asciiTheme="majorBidi" w:hAnsiTheme="majorBidi" w:cstheme="majorBidi"/>
          <w:sz w:val="24"/>
          <w:szCs w:val="24"/>
          <w:lang w:val="en-GB"/>
        </w:rPr>
        <w:footnoteReference w:id="17"/>
      </w:r>
    </w:p>
    <w:p w:rsidR="00A52788" w:rsidRPr="00100028" w:rsidRDefault="00A52788" w:rsidP="00100028">
      <w:pPr>
        <w:bidi w:val="0"/>
        <w:jc w:val="both"/>
        <w:rPr>
          <w:rFonts w:asciiTheme="majorBidi" w:hAnsiTheme="majorBidi" w:cstheme="majorBidi"/>
          <w:sz w:val="24"/>
          <w:szCs w:val="24"/>
          <w:lang w:val="en-GB"/>
        </w:rPr>
      </w:pPr>
    </w:p>
    <w:p w:rsidR="003D7973" w:rsidRPr="00100028" w:rsidRDefault="00A52788" w:rsidP="00100028">
      <w:pPr>
        <w:pStyle w:val="ListParagraph"/>
        <w:numPr>
          <w:ilvl w:val="0"/>
          <w:numId w:val="7"/>
        </w:numPr>
        <w:spacing w:after="0"/>
        <w:jc w:val="both"/>
        <w:rPr>
          <w:rFonts w:asciiTheme="majorBidi" w:hAnsiTheme="majorBidi" w:cstheme="majorBidi"/>
          <w:b/>
          <w:bCs/>
          <w:szCs w:val="24"/>
          <w:lang w:val="en-GB"/>
        </w:rPr>
      </w:pPr>
      <w:r w:rsidRPr="00100028">
        <w:rPr>
          <w:rFonts w:asciiTheme="majorBidi" w:hAnsiTheme="majorBidi" w:cstheme="majorBidi"/>
          <w:b/>
          <w:bCs/>
          <w:szCs w:val="24"/>
          <w:lang w:val="en-GB"/>
        </w:rPr>
        <w:t>Palestinians of the West Bank</w:t>
      </w:r>
    </w:p>
    <w:p w:rsidR="00BA24F6" w:rsidRPr="00100028" w:rsidRDefault="00BA24F6" w:rsidP="00100028">
      <w:pPr>
        <w:bidi w:val="0"/>
        <w:jc w:val="both"/>
        <w:rPr>
          <w:rFonts w:asciiTheme="majorBidi" w:hAnsiTheme="majorBidi" w:cstheme="majorBidi"/>
          <w:sz w:val="24"/>
          <w:szCs w:val="24"/>
          <w:lang w:val="en-GB"/>
        </w:rPr>
      </w:pPr>
    </w:p>
    <w:p w:rsidR="00A14439"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The West </w:t>
      </w:r>
      <w:r w:rsidR="002A0F95" w:rsidRPr="00100028">
        <w:rPr>
          <w:rFonts w:asciiTheme="majorBidi" w:hAnsiTheme="majorBidi" w:cstheme="majorBidi"/>
          <w:sz w:val="24"/>
          <w:szCs w:val="24"/>
          <w:lang w:val="en-GB"/>
        </w:rPr>
        <w:t>Bankers, who number about 2.83 million at the end of 2014</w:t>
      </w:r>
      <w:r w:rsidRPr="00100028">
        <w:rPr>
          <w:rFonts w:asciiTheme="majorBidi" w:hAnsiTheme="majorBidi" w:cstheme="majorBidi"/>
          <w:sz w:val="24"/>
          <w:szCs w:val="24"/>
          <w:lang w:val="en-GB"/>
        </w:rPr>
        <w:t>,</w:t>
      </w:r>
      <w:r w:rsidR="002A0F95" w:rsidRPr="00100028">
        <w:rPr>
          <w:rStyle w:val="FootnoteReference"/>
          <w:rFonts w:asciiTheme="majorBidi" w:hAnsiTheme="majorBidi" w:cstheme="majorBidi"/>
          <w:sz w:val="24"/>
          <w:szCs w:val="24"/>
          <w:lang w:val="en-GB"/>
        </w:rPr>
        <w:footnoteReference w:id="18"/>
      </w:r>
      <w:r w:rsidR="00D66372" w:rsidRPr="00100028">
        <w:rPr>
          <w:rFonts w:asciiTheme="majorBidi" w:hAnsiTheme="majorBidi" w:cstheme="majorBidi"/>
          <w:sz w:val="24"/>
          <w:szCs w:val="24"/>
          <w:lang w:val="en-GB"/>
        </w:rPr>
        <w:t xml:space="preserve"> incorporate</w:t>
      </w:r>
      <w:r w:rsidRPr="00100028">
        <w:rPr>
          <w:rFonts w:asciiTheme="majorBidi" w:hAnsiTheme="majorBidi" w:cstheme="majorBidi"/>
          <w:sz w:val="24"/>
          <w:szCs w:val="24"/>
          <w:lang w:val="en-GB"/>
        </w:rPr>
        <w:t xml:space="preserve"> </w:t>
      </w:r>
      <w:r w:rsidR="00D66372" w:rsidRPr="00100028">
        <w:rPr>
          <w:rFonts w:asciiTheme="majorBidi" w:hAnsiTheme="majorBidi" w:cstheme="majorBidi"/>
          <w:sz w:val="24"/>
          <w:szCs w:val="24"/>
          <w:lang w:val="en-GB"/>
        </w:rPr>
        <w:t>individuals</w:t>
      </w:r>
      <w:r w:rsidRPr="00100028">
        <w:rPr>
          <w:rFonts w:asciiTheme="majorBidi" w:hAnsiTheme="majorBidi" w:cstheme="majorBidi"/>
          <w:sz w:val="24"/>
          <w:szCs w:val="24"/>
          <w:lang w:val="en-GB"/>
        </w:rPr>
        <w:t xml:space="preserve"> who resided in the eastern part of Pale</w:t>
      </w:r>
      <w:r w:rsidR="00D66372" w:rsidRPr="00100028">
        <w:rPr>
          <w:rFonts w:asciiTheme="majorBidi" w:hAnsiTheme="majorBidi" w:cstheme="majorBidi"/>
          <w:sz w:val="24"/>
          <w:szCs w:val="24"/>
          <w:lang w:val="en-GB"/>
        </w:rPr>
        <w:t>stine which become known as the</w:t>
      </w:r>
      <w:r w:rsidR="00D66372" w:rsidRPr="00100028">
        <w:rPr>
          <w:rFonts w:asciiTheme="majorBidi" w:hAnsiTheme="majorBidi" w:cstheme="majorBidi"/>
          <w:color w:val="000000" w:themeColor="text1"/>
          <w:sz w:val="24"/>
          <w:szCs w:val="24"/>
          <w:lang w:val="en-GB"/>
        </w:rPr>
        <w:t xml:space="preserve"> “</w:t>
      </w:r>
      <w:r w:rsidRPr="00100028">
        <w:rPr>
          <w:rFonts w:asciiTheme="majorBidi" w:hAnsiTheme="majorBidi" w:cstheme="majorBidi"/>
          <w:sz w:val="24"/>
          <w:szCs w:val="24"/>
          <w:lang w:val="en-GB"/>
        </w:rPr>
        <w:t>West Bank</w:t>
      </w:r>
      <w:r w:rsidR="00D66372" w:rsidRPr="00100028">
        <w:rPr>
          <w:rFonts w:asciiTheme="majorBidi" w:hAnsiTheme="majorBidi" w:cstheme="majorBidi"/>
          <w:color w:val="000000" w:themeColor="text1"/>
          <w:sz w:val="24"/>
          <w:szCs w:val="24"/>
          <w:lang w:val="en-GB"/>
        </w:rPr>
        <w:t>”</w:t>
      </w:r>
      <w:r w:rsidRPr="00100028">
        <w:rPr>
          <w:rFonts w:asciiTheme="majorBidi" w:hAnsiTheme="majorBidi" w:cstheme="majorBidi"/>
          <w:sz w:val="24"/>
          <w:szCs w:val="24"/>
          <w:lang w:val="en-GB"/>
        </w:rPr>
        <w:t xml:space="preserve"> after the annexation </w:t>
      </w:r>
      <w:r w:rsidR="005924B9" w:rsidRPr="00100028">
        <w:rPr>
          <w:rFonts w:asciiTheme="majorBidi" w:hAnsiTheme="majorBidi" w:cstheme="majorBidi"/>
          <w:sz w:val="24"/>
          <w:szCs w:val="24"/>
          <w:lang w:val="en-GB"/>
        </w:rPr>
        <w:t>of that area by Jordan on 24 April</w:t>
      </w:r>
      <w:r w:rsidR="00A14439" w:rsidRPr="00100028">
        <w:rPr>
          <w:rFonts w:asciiTheme="majorBidi" w:hAnsiTheme="majorBidi" w:cstheme="majorBidi"/>
          <w:sz w:val="24"/>
          <w:szCs w:val="24"/>
          <w:lang w:val="en-GB"/>
        </w:rPr>
        <w:t xml:space="preserve"> 1950.</w:t>
      </w:r>
      <w:r w:rsidR="007A1EF3" w:rsidRPr="00100028">
        <w:rPr>
          <w:rStyle w:val="FootnoteReference"/>
          <w:rFonts w:asciiTheme="majorBidi" w:hAnsiTheme="majorBidi" w:cstheme="majorBidi"/>
          <w:sz w:val="24"/>
          <w:szCs w:val="24"/>
          <w:lang w:val="en-GB"/>
        </w:rPr>
        <w:footnoteReference w:id="19"/>
      </w:r>
    </w:p>
    <w:p w:rsidR="005D3CE8" w:rsidRPr="00100028" w:rsidRDefault="005D3CE8" w:rsidP="00100028">
      <w:pPr>
        <w:bidi w:val="0"/>
        <w:jc w:val="both"/>
        <w:rPr>
          <w:rFonts w:asciiTheme="majorBidi" w:hAnsiTheme="majorBidi" w:cstheme="majorBidi"/>
          <w:sz w:val="24"/>
          <w:szCs w:val="24"/>
          <w:lang w:val="en-GB"/>
        </w:rPr>
      </w:pPr>
    </w:p>
    <w:p w:rsidR="005D3CE8" w:rsidRPr="00100028" w:rsidRDefault="005D3CE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Pale</w:t>
      </w:r>
      <w:r w:rsidR="00ED1B2D" w:rsidRPr="00100028">
        <w:rPr>
          <w:rFonts w:asciiTheme="majorBidi" w:hAnsiTheme="majorBidi" w:cstheme="majorBidi"/>
          <w:sz w:val="24"/>
          <w:szCs w:val="24"/>
          <w:lang w:val="en-GB"/>
        </w:rPr>
        <w:t>stine had a special relation</w:t>
      </w:r>
      <w:r w:rsidRPr="00100028">
        <w:rPr>
          <w:rFonts w:asciiTheme="majorBidi" w:hAnsiTheme="majorBidi" w:cstheme="majorBidi"/>
          <w:sz w:val="24"/>
          <w:szCs w:val="24"/>
          <w:lang w:val="en-GB"/>
        </w:rPr>
        <w:t xml:space="preserve"> with Jordan.</w:t>
      </w:r>
      <w:r w:rsidR="00D66372" w:rsidRPr="00100028">
        <w:rPr>
          <w:rStyle w:val="FootnoteReference"/>
          <w:rFonts w:asciiTheme="majorBidi" w:hAnsiTheme="majorBidi" w:cstheme="majorBidi"/>
          <w:sz w:val="24"/>
          <w:szCs w:val="24"/>
          <w:lang w:val="en-GB"/>
        </w:rPr>
        <w:footnoteReference w:id="20"/>
      </w:r>
      <w:r w:rsidRPr="00100028">
        <w:rPr>
          <w:rFonts w:asciiTheme="majorBidi" w:hAnsiTheme="majorBidi" w:cstheme="majorBidi"/>
          <w:sz w:val="24"/>
          <w:szCs w:val="24"/>
          <w:lang w:val="en-GB"/>
        </w:rPr>
        <w:t xml:space="preserve"> When the League of Nations adopted the </w:t>
      </w:r>
      <w:r w:rsidRPr="00100028">
        <w:rPr>
          <w:rFonts w:asciiTheme="majorBidi" w:hAnsiTheme="majorBidi" w:cstheme="majorBidi"/>
          <w:color w:val="000000"/>
          <w:sz w:val="24"/>
          <w:szCs w:val="24"/>
          <w:lang w:val="en-GB"/>
        </w:rPr>
        <w:t xml:space="preserve">Mandate on </w:t>
      </w:r>
      <w:r w:rsidR="0078726B" w:rsidRPr="00100028">
        <w:rPr>
          <w:rFonts w:asciiTheme="majorBidi" w:hAnsiTheme="majorBidi" w:cstheme="majorBidi"/>
          <w:color w:val="000000"/>
          <w:sz w:val="24"/>
          <w:szCs w:val="24"/>
          <w:lang w:val="en-GB"/>
        </w:rPr>
        <w:t xml:space="preserve">24 July </w:t>
      </w:r>
      <w:r w:rsidRPr="00100028">
        <w:rPr>
          <w:rFonts w:asciiTheme="majorBidi" w:hAnsiTheme="majorBidi" w:cstheme="majorBidi"/>
          <w:color w:val="000000"/>
          <w:sz w:val="24"/>
          <w:szCs w:val="24"/>
          <w:lang w:val="en-GB"/>
        </w:rPr>
        <w:t xml:space="preserve">1922, </w:t>
      </w:r>
      <w:r w:rsidR="0078726B" w:rsidRPr="00100028">
        <w:rPr>
          <w:rFonts w:asciiTheme="majorBidi" w:hAnsiTheme="majorBidi" w:cstheme="majorBidi"/>
          <w:color w:val="000000"/>
          <w:sz w:val="24"/>
          <w:szCs w:val="24"/>
          <w:lang w:val="en-GB"/>
        </w:rPr>
        <w:t>the text</w:t>
      </w:r>
      <w:r w:rsidRPr="00100028">
        <w:rPr>
          <w:rFonts w:asciiTheme="majorBidi" w:hAnsiTheme="majorBidi" w:cstheme="majorBidi"/>
          <w:color w:val="000000"/>
          <w:sz w:val="24"/>
          <w:szCs w:val="24"/>
          <w:lang w:val="en-GB"/>
        </w:rPr>
        <w:t xml:space="preserve"> incorporated the territory of Trans-Jordan within the scope of </w:t>
      </w:r>
      <w:r w:rsidR="00893F12"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Palestine</w:t>
      </w:r>
      <w:r w:rsidR="009C63C1" w:rsidRPr="00100028">
        <w:rPr>
          <w:rFonts w:asciiTheme="majorBidi" w:hAnsiTheme="majorBidi" w:cstheme="majorBidi"/>
          <w:sz w:val="24"/>
          <w:szCs w:val="24"/>
          <w:lang w:val="en-GB"/>
        </w:rPr>
        <w:t>”</w:t>
      </w:r>
      <w:r w:rsidRPr="00100028">
        <w:rPr>
          <w:rFonts w:asciiTheme="majorBidi" w:hAnsiTheme="majorBidi" w:cstheme="majorBidi"/>
          <w:color w:val="000000"/>
          <w:sz w:val="24"/>
          <w:szCs w:val="24"/>
          <w:lang w:val="en-GB"/>
        </w:rPr>
        <w:t>.</w:t>
      </w:r>
      <w:r w:rsidR="00065D3F" w:rsidRPr="00100028">
        <w:rPr>
          <w:rStyle w:val="FootnoteReference"/>
          <w:rFonts w:asciiTheme="majorBidi" w:hAnsiTheme="majorBidi" w:cstheme="majorBidi"/>
          <w:color w:val="000000"/>
          <w:sz w:val="24"/>
          <w:szCs w:val="24"/>
          <w:lang w:val="en-GB"/>
        </w:rPr>
        <w:footnoteReference w:id="21"/>
      </w:r>
      <w:r w:rsidRPr="00100028">
        <w:rPr>
          <w:rFonts w:asciiTheme="majorBidi" w:hAnsiTheme="majorBidi" w:cstheme="majorBidi"/>
          <w:color w:val="000000"/>
          <w:sz w:val="24"/>
          <w:szCs w:val="24"/>
          <w:lang w:val="en-GB"/>
        </w:rPr>
        <w:t xml:space="preserve"> However, Article 25 of the Mandate accorded Britain the power </w:t>
      </w:r>
      <w:r w:rsidR="00893F12"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 xml:space="preserve">to postpone or withhold application of such provisions of this mandate as </w:t>
      </w:r>
      <w:r w:rsidR="003B4898"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w:t>
      </w:r>
      <w:r w:rsidR="003B4898"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 xml:space="preserve"> it may consider inapplicable to the existing local conditions</w:t>
      </w:r>
      <w:r w:rsidR="009C63C1" w:rsidRPr="00100028">
        <w:rPr>
          <w:rFonts w:asciiTheme="majorBidi" w:hAnsiTheme="majorBidi" w:cstheme="majorBidi"/>
          <w:sz w:val="24"/>
          <w:szCs w:val="24"/>
          <w:lang w:val="en-GB"/>
        </w:rPr>
        <w:t>”</w:t>
      </w:r>
      <w:r w:rsidR="00574509"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 xml:space="preserve"> On 16 </w:t>
      </w:r>
      <w:r w:rsidRPr="00100028">
        <w:rPr>
          <w:rFonts w:asciiTheme="majorBidi" w:hAnsiTheme="majorBidi" w:cstheme="majorBidi"/>
          <w:color w:val="000000"/>
          <w:sz w:val="24"/>
          <w:szCs w:val="24"/>
          <w:lang w:val="en-GB"/>
        </w:rPr>
        <w:lastRenderedPageBreak/>
        <w:t xml:space="preserve">September 1922, by a resolution </w:t>
      </w:r>
      <w:r w:rsidR="0078726B" w:rsidRPr="00100028">
        <w:rPr>
          <w:rFonts w:asciiTheme="majorBidi" w:hAnsiTheme="majorBidi" w:cstheme="majorBidi"/>
          <w:color w:val="000000"/>
          <w:sz w:val="24"/>
          <w:szCs w:val="24"/>
          <w:lang w:val="en-GB"/>
        </w:rPr>
        <w:t xml:space="preserve">adopted at the </w:t>
      </w:r>
      <w:r w:rsidR="003959CE" w:rsidRPr="00100028">
        <w:rPr>
          <w:rFonts w:asciiTheme="majorBidi" w:hAnsiTheme="majorBidi" w:cstheme="majorBidi"/>
          <w:color w:val="000000"/>
          <w:sz w:val="24"/>
          <w:szCs w:val="24"/>
          <w:lang w:val="en-GB"/>
        </w:rPr>
        <w:t xml:space="preserve">Council of the </w:t>
      </w:r>
      <w:r w:rsidR="0078726B" w:rsidRPr="00100028">
        <w:rPr>
          <w:rFonts w:asciiTheme="majorBidi" w:hAnsiTheme="majorBidi" w:cstheme="majorBidi"/>
          <w:color w:val="000000"/>
          <w:sz w:val="24"/>
          <w:szCs w:val="24"/>
          <w:lang w:val="en-GB"/>
        </w:rPr>
        <w:t>League</w:t>
      </w:r>
      <w:r w:rsidRPr="00100028">
        <w:rPr>
          <w:rFonts w:asciiTheme="majorBidi" w:hAnsiTheme="majorBidi" w:cstheme="majorBidi"/>
          <w:color w:val="000000"/>
          <w:sz w:val="24"/>
          <w:szCs w:val="24"/>
          <w:lang w:val="en-GB"/>
        </w:rPr>
        <w:t>, Trans-Jordan was excluded from the s</w:t>
      </w:r>
      <w:r w:rsidR="003959CE" w:rsidRPr="00100028">
        <w:rPr>
          <w:rFonts w:asciiTheme="majorBidi" w:hAnsiTheme="majorBidi" w:cstheme="majorBidi"/>
          <w:color w:val="000000"/>
          <w:sz w:val="24"/>
          <w:szCs w:val="24"/>
          <w:lang w:val="en-GB"/>
        </w:rPr>
        <w:t>cope of Palestine and the boundaries</w:t>
      </w:r>
      <w:r w:rsidRPr="00100028">
        <w:rPr>
          <w:rFonts w:asciiTheme="majorBidi" w:hAnsiTheme="majorBidi" w:cstheme="majorBidi"/>
          <w:color w:val="000000"/>
          <w:sz w:val="24"/>
          <w:szCs w:val="24"/>
          <w:lang w:val="en-GB"/>
        </w:rPr>
        <w:t xml:space="preserve"> between </w:t>
      </w:r>
      <w:r w:rsidR="0078726B" w:rsidRPr="00100028">
        <w:rPr>
          <w:rFonts w:asciiTheme="majorBidi" w:hAnsiTheme="majorBidi" w:cstheme="majorBidi"/>
          <w:color w:val="000000"/>
          <w:sz w:val="24"/>
          <w:szCs w:val="24"/>
          <w:lang w:val="en-GB"/>
        </w:rPr>
        <w:t xml:space="preserve">two areas </w:t>
      </w:r>
      <w:r w:rsidR="003959CE" w:rsidRPr="00100028">
        <w:rPr>
          <w:rFonts w:asciiTheme="majorBidi" w:hAnsiTheme="majorBidi" w:cstheme="majorBidi"/>
          <w:color w:val="000000"/>
          <w:sz w:val="24"/>
          <w:szCs w:val="24"/>
          <w:lang w:val="en-GB"/>
        </w:rPr>
        <w:t>were</w:t>
      </w:r>
      <w:r w:rsidRPr="00100028">
        <w:rPr>
          <w:rFonts w:asciiTheme="majorBidi" w:hAnsiTheme="majorBidi" w:cstheme="majorBidi"/>
          <w:color w:val="000000"/>
          <w:sz w:val="24"/>
          <w:szCs w:val="24"/>
          <w:lang w:val="en-GB"/>
        </w:rPr>
        <w:t xml:space="preserve"> fixed.</w:t>
      </w:r>
      <w:r w:rsidR="00065D3F" w:rsidRPr="00100028">
        <w:rPr>
          <w:rStyle w:val="FootnoteReference"/>
          <w:rFonts w:asciiTheme="majorBidi" w:hAnsiTheme="majorBidi" w:cstheme="majorBidi"/>
          <w:color w:val="000000"/>
          <w:sz w:val="24"/>
          <w:szCs w:val="24"/>
          <w:lang w:val="en-GB"/>
        </w:rPr>
        <w:footnoteReference w:id="22"/>
      </w:r>
      <w:r w:rsidRPr="00100028">
        <w:rPr>
          <w:rFonts w:asciiTheme="majorBidi" w:hAnsiTheme="majorBidi" w:cstheme="majorBidi"/>
          <w:color w:val="000000"/>
          <w:sz w:val="24"/>
          <w:szCs w:val="24"/>
          <w:lang w:val="en-GB"/>
        </w:rPr>
        <w:t xml:space="preserve"> Trans-Jordan had earlier been excluded from Pal</w:t>
      </w:r>
      <w:r w:rsidR="00AB6B68" w:rsidRPr="00100028">
        <w:rPr>
          <w:rFonts w:asciiTheme="majorBidi" w:hAnsiTheme="majorBidi" w:cstheme="majorBidi"/>
          <w:color w:val="000000"/>
          <w:sz w:val="24"/>
          <w:szCs w:val="24"/>
          <w:lang w:val="en-GB"/>
        </w:rPr>
        <w:t>estine by Article 86 of the</w:t>
      </w:r>
      <w:r w:rsidRPr="00100028">
        <w:rPr>
          <w:rFonts w:asciiTheme="majorBidi" w:hAnsiTheme="majorBidi" w:cstheme="majorBidi"/>
          <w:color w:val="000000"/>
          <w:sz w:val="24"/>
          <w:szCs w:val="24"/>
          <w:lang w:val="en-GB"/>
        </w:rPr>
        <w:t xml:space="preserve"> Palestine Order in Council</w:t>
      </w:r>
      <w:r w:rsidR="00AB6B68" w:rsidRPr="00100028">
        <w:rPr>
          <w:rFonts w:asciiTheme="majorBidi" w:hAnsiTheme="majorBidi" w:cstheme="majorBidi"/>
          <w:color w:val="000000"/>
          <w:sz w:val="24"/>
          <w:szCs w:val="24"/>
          <w:lang w:val="en-GB"/>
        </w:rPr>
        <w:t xml:space="preserve"> of 10 August 1922</w:t>
      </w:r>
      <w:r w:rsidRPr="00100028">
        <w:rPr>
          <w:rFonts w:asciiTheme="majorBidi" w:hAnsiTheme="majorBidi" w:cstheme="majorBidi"/>
          <w:color w:val="000000"/>
          <w:sz w:val="24"/>
          <w:szCs w:val="24"/>
          <w:lang w:val="en-GB"/>
        </w:rPr>
        <w:t>,</w:t>
      </w:r>
      <w:r w:rsidR="0078726B" w:rsidRPr="00100028">
        <w:rPr>
          <w:rStyle w:val="FootnoteReference"/>
          <w:rFonts w:asciiTheme="majorBidi" w:hAnsiTheme="majorBidi" w:cstheme="majorBidi"/>
          <w:color w:val="000000"/>
          <w:sz w:val="24"/>
          <w:szCs w:val="24"/>
          <w:lang w:val="en-GB"/>
        </w:rPr>
        <w:footnoteReference w:id="23"/>
      </w:r>
      <w:r w:rsidRPr="00100028">
        <w:rPr>
          <w:rFonts w:asciiTheme="majorBidi" w:hAnsiTheme="majorBidi" w:cstheme="majorBidi"/>
          <w:color w:val="000000"/>
          <w:sz w:val="24"/>
          <w:szCs w:val="24"/>
          <w:lang w:val="en-GB"/>
        </w:rPr>
        <w:t xml:space="preserve"> the Constitution that Britain applied: </w:t>
      </w:r>
      <w:r w:rsidR="00893F12"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 xml:space="preserve">This Order in Council shall not apply to such parts of the territory comprised in Palestine to the east of the </w:t>
      </w:r>
      <w:r w:rsidR="00574509" w:rsidRPr="00100028">
        <w:rPr>
          <w:rFonts w:asciiTheme="majorBidi" w:hAnsiTheme="majorBidi" w:cstheme="majorBidi"/>
          <w:color w:val="000000"/>
          <w:sz w:val="24"/>
          <w:szCs w:val="24"/>
          <w:lang w:val="en-GB"/>
        </w:rPr>
        <w:t>Jordan [River] and the Dead Sea</w:t>
      </w:r>
      <w:r w:rsidR="009C63C1" w:rsidRPr="00100028">
        <w:rPr>
          <w:rFonts w:asciiTheme="majorBidi" w:hAnsiTheme="majorBidi" w:cstheme="majorBidi"/>
          <w:sz w:val="24"/>
          <w:szCs w:val="24"/>
          <w:lang w:val="en-GB"/>
        </w:rPr>
        <w:t>”</w:t>
      </w:r>
      <w:r w:rsidR="00574509" w:rsidRPr="00100028">
        <w:rPr>
          <w:rFonts w:asciiTheme="majorBidi" w:hAnsiTheme="majorBidi" w:cstheme="majorBidi"/>
          <w:color w:val="000000"/>
          <w:sz w:val="24"/>
          <w:szCs w:val="24"/>
          <w:lang w:val="en-GB"/>
        </w:rPr>
        <w:t>.</w:t>
      </w:r>
      <w:r w:rsidR="0005344A" w:rsidRPr="00100028">
        <w:rPr>
          <w:rFonts w:asciiTheme="majorBidi" w:hAnsiTheme="majorBidi" w:cstheme="majorBidi"/>
          <w:color w:val="000000"/>
          <w:sz w:val="24"/>
          <w:szCs w:val="24"/>
          <w:lang w:val="en-GB"/>
        </w:rPr>
        <w:t xml:space="preserve"> Britain agreed</w:t>
      </w:r>
      <w:r w:rsidR="00AB6B68" w:rsidRPr="00100028">
        <w:rPr>
          <w:rFonts w:asciiTheme="majorBidi" w:hAnsiTheme="majorBidi" w:cstheme="majorBidi"/>
          <w:color w:val="000000"/>
          <w:sz w:val="24"/>
          <w:szCs w:val="24"/>
          <w:lang w:val="en-GB"/>
        </w:rPr>
        <w:t xml:space="preserve"> o</w:t>
      </w:r>
      <w:r w:rsidRPr="00100028">
        <w:rPr>
          <w:rFonts w:asciiTheme="majorBidi" w:hAnsiTheme="majorBidi" w:cstheme="majorBidi"/>
          <w:color w:val="000000"/>
          <w:sz w:val="24"/>
          <w:szCs w:val="24"/>
          <w:lang w:val="en-GB"/>
        </w:rPr>
        <w:t xml:space="preserve">n </w:t>
      </w:r>
      <w:r w:rsidR="00AB6B68" w:rsidRPr="00100028">
        <w:rPr>
          <w:rFonts w:asciiTheme="majorBidi" w:hAnsiTheme="majorBidi" w:cstheme="majorBidi"/>
          <w:color w:val="000000"/>
          <w:sz w:val="24"/>
          <w:szCs w:val="24"/>
          <w:lang w:val="en-GB"/>
        </w:rPr>
        <w:t xml:space="preserve">20 February </w:t>
      </w:r>
      <w:r w:rsidR="003959CE" w:rsidRPr="00100028">
        <w:rPr>
          <w:rFonts w:asciiTheme="majorBidi" w:hAnsiTheme="majorBidi" w:cstheme="majorBidi"/>
          <w:color w:val="000000"/>
          <w:sz w:val="24"/>
          <w:szCs w:val="24"/>
          <w:lang w:val="en-GB"/>
        </w:rPr>
        <w:t>1928 for</w:t>
      </w:r>
      <w:r w:rsidR="0005344A" w:rsidRPr="00100028">
        <w:rPr>
          <w:rFonts w:asciiTheme="majorBidi" w:hAnsiTheme="majorBidi" w:cstheme="majorBidi"/>
          <w:color w:val="000000"/>
          <w:sz w:val="24"/>
          <w:szCs w:val="24"/>
          <w:lang w:val="en-GB"/>
        </w:rPr>
        <w:t xml:space="preserve"> Trans-Jordan to form </w:t>
      </w:r>
      <w:r w:rsidR="003C1207" w:rsidRPr="00100028">
        <w:rPr>
          <w:rFonts w:asciiTheme="majorBidi" w:hAnsiTheme="majorBidi" w:cstheme="majorBidi"/>
          <w:color w:val="000000"/>
          <w:sz w:val="24"/>
          <w:szCs w:val="24"/>
          <w:lang w:val="en-GB"/>
        </w:rPr>
        <w:t xml:space="preserve">an </w:t>
      </w:r>
      <w:r w:rsidRPr="00100028">
        <w:rPr>
          <w:rFonts w:asciiTheme="majorBidi" w:hAnsiTheme="majorBidi" w:cstheme="majorBidi"/>
          <w:color w:val="000000"/>
          <w:sz w:val="24"/>
          <w:szCs w:val="24"/>
          <w:lang w:val="en-GB"/>
        </w:rPr>
        <w:t>auton</w:t>
      </w:r>
      <w:r w:rsidR="003C1207" w:rsidRPr="00100028">
        <w:rPr>
          <w:rFonts w:asciiTheme="majorBidi" w:hAnsiTheme="majorBidi" w:cstheme="majorBidi"/>
          <w:color w:val="000000"/>
          <w:sz w:val="24"/>
          <w:szCs w:val="24"/>
          <w:lang w:val="en-GB"/>
        </w:rPr>
        <w:t>omous government in Amman</w:t>
      </w:r>
      <w:r w:rsidRPr="00100028">
        <w:rPr>
          <w:rFonts w:asciiTheme="majorBidi" w:hAnsiTheme="majorBidi" w:cstheme="majorBidi"/>
          <w:color w:val="000000"/>
          <w:sz w:val="24"/>
          <w:szCs w:val="24"/>
          <w:lang w:val="en-GB"/>
        </w:rPr>
        <w:t>.</w:t>
      </w:r>
      <w:r w:rsidR="0078726B" w:rsidRPr="00100028">
        <w:rPr>
          <w:rStyle w:val="FootnoteReference"/>
          <w:rFonts w:asciiTheme="majorBidi" w:hAnsiTheme="majorBidi" w:cstheme="majorBidi"/>
          <w:color w:val="000000"/>
          <w:sz w:val="24"/>
          <w:szCs w:val="24"/>
          <w:lang w:val="en-GB"/>
        </w:rPr>
        <w:footnoteReference w:id="24"/>
      </w:r>
      <w:r w:rsidRPr="00100028">
        <w:rPr>
          <w:rFonts w:asciiTheme="majorBidi" w:hAnsiTheme="majorBidi" w:cstheme="majorBidi"/>
          <w:color w:val="000000"/>
          <w:sz w:val="24"/>
          <w:szCs w:val="24"/>
          <w:lang w:val="en-GB"/>
        </w:rPr>
        <w:t xml:space="preserve"> After concluding a tr</w:t>
      </w:r>
      <w:r w:rsidR="0005344A" w:rsidRPr="00100028">
        <w:rPr>
          <w:rFonts w:asciiTheme="majorBidi" w:hAnsiTheme="majorBidi" w:cstheme="majorBidi"/>
          <w:color w:val="000000"/>
          <w:sz w:val="24"/>
          <w:szCs w:val="24"/>
          <w:lang w:val="en-GB"/>
        </w:rPr>
        <w:t>eaty of alliance with Britain on 22 March</w:t>
      </w:r>
      <w:r w:rsidRPr="00100028">
        <w:rPr>
          <w:rFonts w:asciiTheme="majorBidi" w:hAnsiTheme="majorBidi" w:cstheme="majorBidi"/>
          <w:color w:val="000000"/>
          <w:sz w:val="24"/>
          <w:szCs w:val="24"/>
          <w:lang w:val="en-GB"/>
        </w:rPr>
        <w:t xml:space="preserve"> 1946, Trans-Jo</w:t>
      </w:r>
      <w:r w:rsidR="0005344A" w:rsidRPr="00100028">
        <w:rPr>
          <w:rFonts w:asciiTheme="majorBidi" w:hAnsiTheme="majorBidi" w:cstheme="majorBidi"/>
          <w:color w:val="000000"/>
          <w:sz w:val="24"/>
          <w:szCs w:val="24"/>
          <w:lang w:val="en-GB"/>
        </w:rPr>
        <w:t>rdan could at last acquire</w:t>
      </w:r>
      <w:r w:rsidR="0078726B" w:rsidRPr="00100028">
        <w:rPr>
          <w:rFonts w:asciiTheme="majorBidi" w:hAnsiTheme="majorBidi" w:cstheme="majorBidi"/>
          <w:color w:val="000000"/>
          <w:sz w:val="24"/>
          <w:szCs w:val="24"/>
          <w:lang w:val="en-GB"/>
        </w:rPr>
        <w:t xml:space="preserve"> it</w:t>
      </w:r>
      <w:r w:rsidR="002652FE" w:rsidRPr="00100028">
        <w:rPr>
          <w:rFonts w:asciiTheme="majorBidi" w:hAnsiTheme="majorBidi" w:cstheme="majorBidi"/>
          <w:color w:val="000000"/>
          <w:sz w:val="24"/>
          <w:szCs w:val="24"/>
          <w:lang w:val="en-GB"/>
        </w:rPr>
        <w:t>s independence from Britain and</w:t>
      </w:r>
      <w:r w:rsidR="0005344A" w:rsidRPr="00100028">
        <w:rPr>
          <w:rFonts w:asciiTheme="majorBidi" w:hAnsiTheme="majorBidi" w:cstheme="majorBidi"/>
          <w:color w:val="000000"/>
          <w:sz w:val="24"/>
          <w:szCs w:val="24"/>
          <w:lang w:val="en-GB"/>
        </w:rPr>
        <w:t xml:space="preserve"> </w:t>
      </w:r>
      <w:r w:rsidR="002652FE" w:rsidRPr="00100028">
        <w:rPr>
          <w:rFonts w:asciiTheme="majorBidi" w:hAnsiTheme="majorBidi" w:cstheme="majorBidi"/>
          <w:color w:val="000000"/>
          <w:sz w:val="24"/>
          <w:szCs w:val="24"/>
          <w:lang w:val="en-GB"/>
        </w:rPr>
        <w:t xml:space="preserve">detach from </w:t>
      </w:r>
      <w:r w:rsidR="0078726B" w:rsidRPr="00100028">
        <w:rPr>
          <w:rFonts w:asciiTheme="majorBidi" w:hAnsiTheme="majorBidi" w:cstheme="majorBidi"/>
          <w:color w:val="000000"/>
          <w:sz w:val="24"/>
          <w:szCs w:val="24"/>
          <w:lang w:val="en-GB"/>
        </w:rPr>
        <w:t>Palestine.</w:t>
      </w:r>
      <w:r w:rsidR="0046258B" w:rsidRPr="00100028">
        <w:rPr>
          <w:rStyle w:val="FootnoteReference"/>
          <w:rFonts w:asciiTheme="majorBidi" w:hAnsiTheme="majorBidi" w:cstheme="majorBidi"/>
          <w:color w:val="000000"/>
          <w:sz w:val="24"/>
          <w:szCs w:val="24"/>
          <w:lang w:val="en-GB"/>
        </w:rPr>
        <w:footnoteReference w:id="25"/>
      </w:r>
    </w:p>
    <w:p w:rsidR="005D3CE8" w:rsidRPr="00100028" w:rsidRDefault="005D3CE8" w:rsidP="00100028">
      <w:pPr>
        <w:pStyle w:val="FootnoteText"/>
        <w:jc w:val="both"/>
        <w:rPr>
          <w:rFonts w:asciiTheme="majorBidi" w:hAnsiTheme="majorBidi" w:cstheme="majorBidi"/>
          <w:color w:val="000000"/>
          <w:sz w:val="24"/>
          <w:szCs w:val="24"/>
          <w:lang w:val="en-GB"/>
        </w:rPr>
      </w:pPr>
    </w:p>
    <w:p w:rsidR="005D3CE8" w:rsidRPr="00100028" w:rsidRDefault="005D3CE8" w:rsidP="00100028">
      <w:pPr>
        <w:bidi w:val="0"/>
        <w:jc w:val="both"/>
        <w:rPr>
          <w:rFonts w:asciiTheme="majorBidi" w:hAnsiTheme="majorBidi" w:cstheme="majorBidi"/>
          <w:color w:val="000000"/>
          <w:sz w:val="24"/>
          <w:szCs w:val="24"/>
          <w:lang w:val="en-GB"/>
        </w:rPr>
      </w:pPr>
      <w:r w:rsidRPr="00100028">
        <w:rPr>
          <w:rFonts w:asciiTheme="majorBidi" w:hAnsiTheme="majorBidi" w:cstheme="majorBidi"/>
          <w:color w:val="000000"/>
          <w:sz w:val="24"/>
          <w:szCs w:val="24"/>
          <w:lang w:val="en-GB"/>
        </w:rPr>
        <w:t>Tran</w:t>
      </w:r>
      <w:r w:rsidR="003C1207" w:rsidRPr="00100028">
        <w:rPr>
          <w:rFonts w:asciiTheme="majorBidi" w:hAnsiTheme="majorBidi" w:cstheme="majorBidi"/>
          <w:color w:val="000000"/>
          <w:sz w:val="24"/>
          <w:szCs w:val="24"/>
          <w:lang w:val="en-GB"/>
        </w:rPr>
        <w:t>s-Jordan developed a citizenship</w:t>
      </w:r>
      <w:r w:rsidRPr="00100028">
        <w:rPr>
          <w:rFonts w:asciiTheme="majorBidi" w:hAnsiTheme="majorBidi" w:cstheme="majorBidi"/>
          <w:color w:val="000000"/>
          <w:sz w:val="24"/>
          <w:szCs w:val="24"/>
          <w:lang w:val="en-GB"/>
        </w:rPr>
        <w:t xml:space="preserve"> distinct from that of Palestine. To begin with, the aforementioned resolution of the Council of the League of Nations of 16 September 1922 resolved, </w:t>
      </w:r>
      <w:r w:rsidRPr="00100028">
        <w:rPr>
          <w:rFonts w:asciiTheme="majorBidi" w:hAnsiTheme="majorBidi" w:cstheme="majorBidi"/>
          <w:iCs/>
          <w:color w:val="000000"/>
          <w:sz w:val="24"/>
          <w:szCs w:val="24"/>
          <w:lang w:val="en-GB"/>
        </w:rPr>
        <w:t>inter alia</w:t>
      </w:r>
      <w:r w:rsidRPr="00100028">
        <w:rPr>
          <w:rFonts w:asciiTheme="majorBidi" w:hAnsiTheme="majorBidi" w:cstheme="majorBidi"/>
          <w:color w:val="000000"/>
          <w:sz w:val="24"/>
          <w:szCs w:val="24"/>
          <w:lang w:val="en-GB"/>
        </w:rPr>
        <w:t xml:space="preserve">, that Article 7 of the Palestine Mandate relating </w:t>
      </w:r>
      <w:r w:rsidR="00D805F4" w:rsidRPr="00100028">
        <w:rPr>
          <w:rFonts w:asciiTheme="majorBidi" w:hAnsiTheme="majorBidi" w:cstheme="majorBidi"/>
          <w:color w:val="000000"/>
          <w:sz w:val="24"/>
          <w:szCs w:val="24"/>
          <w:lang w:val="en-GB"/>
        </w:rPr>
        <w:t>to Palestinian citizenship</w:t>
      </w:r>
      <w:r w:rsidRPr="00100028">
        <w:rPr>
          <w:rFonts w:asciiTheme="majorBidi" w:hAnsiTheme="majorBidi" w:cstheme="majorBidi"/>
          <w:color w:val="000000"/>
          <w:sz w:val="24"/>
          <w:szCs w:val="24"/>
          <w:lang w:val="en-GB"/>
        </w:rPr>
        <w:t xml:space="preserve"> would not be applicable to Trans-Jordan.</w:t>
      </w:r>
      <w:r w:rsidR="00D805F4" w:rsidRPr="00100028">
        <w:rPr>
          <w:rStyle w:val="FootnoteReference"/>
          <w:rFonts w:asciiTheme="majorBidi" w:hAnsiTheme="majorBidi" w:cstheme="majorBidi"/>
          <w:color w:val="000000"/>
          <w:sz w:val="24"/>
          <w:szCs w:val="24"/>
          <w:lang w:val="en-GB"/>
        </w:rPr>
        <w:footnoteReference w:id="26"/>
      </w:r>
      <w:r w:rsidRPr="00100028">
        <w:rPr>
          <w:rFonts w:asciiTheme="majorBidi" w:hAnsiTheme="majorBidi" w:cstheme="majorBidi"/>
          <w:color w:val="000000"/>
          <w:sz w:val="24"/>
          <w:szCs w:val="24"/>
          <w:lang w:val="en-GB"/>
        </w:rPr>
        <w:t xml:space="preserve"> That territory</w:t>
      </w:r>
      <w:r w:rsidR="00F130C3"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 xml:space="preserve">s inhabitants were then expressly excluded from the </w:t>
      </w:r>
      <w:r w:rsidR="003B4898" w:rsidRPr="00100028">
        <w:rPr>
          <w:rFonts w:asciiTheme="majorBidi" w:hAnsiTheme="majorBidi" w:cstheme="majorBidi"/>
          <w:color w:val="000000"/>
          <w:sz w:val="24"/>
          <w:szCs w:val="24"/>
          <w:lang w:val="en-GB"/>
        </w:rPr>
        <w:t>scope of Palestinian citizenship</w:t>
      </w:r>
      <w:r w:rsidRPr="00100028">
        <w:rPr>
          <w:rFonts w:asciiTheme="majorBidi" w:hAnsiTheme="majorBidi" w:cstheme="majorBidi"/>
          <w:color w:val="000000"/>
          <w:sz w:val="24"/>
          <w:szCs w:val="24"/>
          <w:lang w:val="en-GB"/>
        </w:rPr>
        <w:t xml:space="preserve"> by Article 21 of the 1925 Palestinian Citizenship Order. Trans-Jordan eventually enacted its own </w:t>
      </w:r>
      <w:r w:rsidR="003B4898" w:rsidRPr="00100028">
        <w:rPr>
          <w:rFonts w:asciiTheme="majorBidi" w:hAnsiTheme="majorBidi" w:cstheme="majorBidi"/>
          <w:color w:val="000000"/>
          <w:sz w:val="24"/>
          <w:szCs w:val="24"/>
          <w:lang w:val="en-GB"/>
        </w:rPr>
        <w:t>citizenship</w:t>
      </w:r>
      <w:r w:rsidRPr="00100028">
        <w:rPr>
          <w:rFonts w:asciiTheme="majorBidi" w:hAnsiTheme="majorBidi" w:cstheme="majorBidi"/>
          <w:color w:val="000000"/>
          <w:sz w:val="24"/>
          <w:szCs w:val="24"/>
          <w:lang w:val="en-GB"/>
        </w:rPr>
        <w:t xml:space="preserve"> law on 1 May 1928.</w:t>
      </w:r>
      <w:r w:rsidR="003500E4" w:rsidRPr="00100028">
        <w:rPr>
          <w:rStyle w:val="FootnoteReference"/>
          <w:rFonts w:asciiTheme="majorBidi" w:hAnsiTheme="majorBidi" w:cstheme="majorBidi"/>
          <w:color w:val="000000"/>
          <w:sz w:val="24"/>
          <w:szCs w:val="24"/>
          <w:lang w:val="en-GB"/>
        </w:rPr>
        <w:footnoteReference w:id="27"/>
      </w:r>
      <w:r w:rsidRPr="00100028">
        <w:rPr>
          <w:rFonts w:asciiTheme="majorBidi" w:hAnsiTheme="majorBidi" w:cstheme="majorBidi"/>
          <w:color w:val="000000"/>
          <w:sz w:val="24"/>
          <w:szCs w:val="24"/>
          <w:lang w:val="en-GB"/>
        </w:rPr>
        <w:t xml:space="preserve"> Article 1 of this law conferred Trans-Jordanian </w:t>
      </w:r>
      <w:r w:rsidR="003B4898" w:rsidRPr="00100028">
        <w:rPr>
          <w:rFonts w:asciiTheme="majorBidi" w:hAnsiTheme="majorBidi" w:cstheme="majorBidi"/>
          <w:color w:val="000000"/>
          <w:sz w:val="24"/>
          <w:szCs w:val="24"/>
          <w:lang w:val="en-GB"/>
        </w:rPr>
        <w:t>citizenship</w:t>
      </w:r>
      <w:r w:rsidRPr="00100028">
        <w:rPr>
          <w:rFonts w:asciiTheme="majorBidi" w:hAnsiTheme="majorBidi" w:cstheme="majorBidi"/>
          <w:color w:val="000000"/>
          <w:sz w:val="24"/>
          <w:szCs w:val="24"/>
          <w:lang w:val="en-GB"/>
        </w:rPr>
        <w:t xml:space="preserve"> on Ottoman subjects residing in Trans-Jordan re</w:t>
      </w:r>
      <w:r w:rsidR="003959CE" w:rsidRPr="00100028">
        <w:rPr>
          <w:rFonts w:asciiTheme="majorBidi" w:hAnsiTheme="majorBidi" w:cstheme="majorBidi"/>
          <w:color w:val="000000"/>
          <w:sz w:val="24"/>
          <w:szCs w:val="24"/>
          <w:lang w:val="en-GB"/>
        </w:rPr>
        <w:t>troactively as of 6 August 1924</w:t>
      </w:r>
      <w:r w:rsidRPr="00100028">
        <w:rPr>
          <w:rFonts w:asciiTheme="majorBidi" w:hAnsiTheme="majorBidi" w:cstheme="majorBidi"/>
          <w:color w:val="000000"/>
          <w:sz w:val="24"/>
          <w:szCs w:val="24"/>
          <w:lang w:val="en-GB"/>
        </w:rPr>
        <w:t xml:space="preserve">— the date on which the Treaty of Lausanne came into force. Trans-Jordanian </w:t>
      </w:r>
      <w:r w:rsidR="003B4898" w:rsidRPr="00100028">
        <w:rPr>
          <w:rFonts w:asciiTheme="majorBidi" w:hAnsiTheme="majorBidi" w:cstheme="majorBidi"/>
          <w:color w:val="000000"/>
          <w:sz w:val="24"/>
          <w:szCs w:val="24"/>
          <w:lang w:val="en-GB"/>
        </w:rPr>
        <w:t>citizenship</w:t>
      </w:r>
      <w:r w:rsidRPr="00100028">
        <w:rPr>
          <w:rFonts w:asciiTheme="majorBidi" w:hAnsiTheme="majorBidi" w:cstheme="majorBidi"/>
          <w:color w:val="000000"/>
          <w:sz w:val="24"/>
          <w:szCs w:val="24"/>
          <w:lang w:val="en-GB"/>
        </w:rPr>
        <w:t xml:space="preserve"> constituted a separate </w:t>
      </w:r>
      <w:r w:rsidR="003B4898" w:rsidRPr="00100028">
        <w:rPr>
          <w:rFonts w:asciiTheme="majorBidi" w:hAnsiTheme="majorBidi" w:cstheme="majorBidi"/>
          <w:color w:val="000000"/>
          <w:sz w:val="24"/>
          <w:szCs w:val="24"/>
          <w:lang w:val="en-GB"/>
        </w:rPr>
        <w:t>citizenship</w:t>
      </w:r>
      <w:r w:rsidRPr="00100028">
        <w:rPr>
          <w:rFonts w:asciiTheme="majorBidi" w:hAnsiTheme="majorBidi" w:cstheme="majorBidi"/>
          <w:color w:val="000000"/>
          <w:sz w:val="24"/>
          <w:szCs w:val="24"/>
          <w:lang w:val="en-GB"/>
        </w:rPr>
        <w:t xml:space="preserve"> from that of Palestine in law </w:t>
      </w:r>
      <w:r w:rsidR="003959CE" w:rsidRPr="00100028">
        <w:rPr>
          <w:rFonts w:asciiTheme="majorBidi" w:hAnsiTheme="majorBidi" w:cstheme="majorBidi"/>
          <w:color w:val="000000"/>
          <w:sz w:val="24"/>
          <w:szCs w:val="24"/>
          <w:lang w:val="en-GB"/>
        </w:rPr>
        <w:t>and in practice throughout the M</w:t>
      </w:r>
      <w:r w:rsidRPr="00100028">
        <w:rPr>
          <w:rFonts w:asciiTheme="majorBidi" w:hAnsiTheme="majorBidi" w:cstheme="majorBidi"/>
          <w:color w:val="000000"/>
          <w:sz w:val="24"/>
          <w:szCs w:val="24"/>
          <w:lang w:val="en-GB"/>
        </w:rPr>
        <w:t>andate</w:t>
      </w:r>
      <w:r w:rsidR="003959CE" w:rsidRPr="00100028">
        <w:rPr>
          <w:rFonts w:asciiTheme="majorBidi" w:hAnsiTheme="majorBidi" w:cstheme="majorBidi"/>
          <w:color w:val="000000"/>
          <w:sz w:val="24"/>
          <w:szCs w:val="24"/>
          <w:lang w:val="en-GB"/>
        </w:rPr>
        <w:t xml:space="preserve"> period</w:t>
      </w:r>
      <w:r w:rsidRPr="00100028">
        <w:rPr>
          <w:rFonts w:asciiTheme="majorBidi" w:hAnsiTheme="majorBidi" w:cstheme="majorBidi"/>
          <w:color w:val="000000"/>
          <w:sz w:val="24"/>
          <w:szCs w:val="24"/>
          <w:lang w:val="en-GB"/>
        </w:rPr>
        <w:t>. Trans-Jordanians, for example, were required to obt</w:t>
      </w:r>
      <w:r w:rsidR="00D805F4" w:rsidRPr="00100028">
        <w:rPr>
          <w:rFonts w:asciiTheme="majorBidi" w:hAnsiTheme="majorBidi" w:cstheme="majorBidi"/>
          <w:color w:val="000000"/>
          <w:sz w:val="24"/>
          <w:szCs w:val="24"/>
          <w:lang w:val="en-GB"/>
        </w:rPr>
        <w:t>ain</w:t>
      </w:r>
      <w:r w:rsidRPr="00100028">
        <w:rPr>
          <w:rFonts w:asciiTheme="majorBidi" w:hAnsiTheme="majorBidi" w:cstheme="majorBidi"/>
          <w:color w:val="000000"/>
          <w:sz w:val="24"/>
          <w:szCs w:val="24"/>
          <w:lang w:val="en-GB"/>
        </w:rPr>
        <w:t xml:space="preserve"> a visa to enter Palestine.</w:t>
      </w:r>
      <w:r w:rsidR="00CC6AB7" w:rsidRPr="00100028">
        <w:rPr>
          <w:rStyle w:val="FootnoteReference"/>
          <w:rFonts w:asciiTheme="majorBidi" w:hAnsiTheme="majorBidi" w:cstheme="majorBidi"/>
          <w:color w:val="000000"/>
          <w:sz w:val="24"/>
          <w:szCs w:val="24"/>
          <w:lang w:val="en-GB"/>
        </w:rPr>
        <w:footnoteReference w:id="28"/>
      </w:r>
    </w:p>
    <w:p w:rsidR="005D3CE8" w:rsidRPr="00100028" w:rsidRDefault="005D3CE8" w:rsidP="00100028">
      <w:pPr>
        <w:bidi w:val="0"/>
        <w:jc w:val="both"/>
        <w:rPr>
          <w:rFonts w:asciiTheme="majorBidi" w:hAnsiTheme="majorBidi" w:cstheme="majorBidi"/>
          <w:color w:val="000000"/>
          <w:sz w:val="24"/>
          <w:szCs w:val="24"/>
          <w:lang w:val="en-GB"/>
        </w:rPr>
      </w:pPr>
    </w:p>
    <w:p w:rsidR="009C63C1" w:rsidRPr="00100028" w:rsidRDefault="005D3CE8" w:rsidP="00100028">
      <w:pPr>
        <w:bidi w:val="0"/>
        <w:jc w:val="both"/>
        <w:rPr>
          <w:rFonts w:asciiTheme="majorBidi" w:hAnsiTheme="majorBidi" w:cstheme="majorBidi"/>
          <w:color w:val="000000"/>
          <w:sz w:val="24"/>
          <w:szCs w:val="24"/>
          <w:lang w:val="en-GB"/>
        </w:rPr>
      </w:pPr>
      <w:r w:rsidRPr="00100028">
        <w:rPr>
          <w:rFonts w:asciiTheme="majorBidi" w:hAnsiTheme="majorBidi" w:cstheme="majorBidi"/>
          <w:color w:val="000000"/>
          <w:sz w:val="24"/>
          <w:szCs w:val="24"/>
          <w:lang w:val="en-GB"/>
        </w:rPr>
        <w:t>The relationship between the Palestinian and Trans-Jordani</w:t>
      </w:r>
      <w:r w:rsidR="00574509" w:rsidRPr="00100028">
        <w:rPr>
          <w:rFonts w:asciiTheme="majorBidi" w:hAnsiTheme="majorBidi" w:cstheme="majorBidi"/>
          <w:color w:val="000000"/>
          <w:sz w:val="24"/>
          <w:szCs w:val="24"/>
          <w:lang w:val="en-GB"/>
        </w:rPr>
        <w:t>an citizenships</w:t>
      </w:r>
      <w:r w:rsidRPr="00100028">
        <w:rPr>
          <w:rFonts w:asciiTheme="majorBidi" w:hAnsiTheme="majorBidi" w:cstheme="majorBidi"/>
          <w:color w:val="000000"/>
          <w:sz w:val="24"/>
          <w:szCs w:val="24"/>
          <w:lang w:val="en-GB"/>
        </w:rPr>
        <w:t xml:space="preserve"> arose in a case before the Supreme Court of Palestine on 14 December 1945. In </w:t>
      </w:r>
      <w:proofErr w:type="spellStart"/>
      <w:r w:rsidRPr="00100028">
        <w:rPr>
          <w:rFonts w:asciiTheme="majorBidi" w:hAnsiTheme="majorBidi" w:cstheme="majorBidi"/>
          <w:i/>
          <w:color w:val="000000"/>
          <w:sz w:val="24"/>
          <w:szCs w:val="24"/>
          <w:lang w:val="en-GB"/>
        </w:rPr>
        <w:t>Jawdat</w:t>
      </w:r>
      <w:proofErr w:type="spellEnd"/>
      <w:r w:rsidRPr="00100028">
        <w:rPr>
          <w:rFonts w:asciiTheme="majorBidi" w:hAnsiTheme="majorBidi" w:cstheme="majorBidi"/>
          <w:i/>
          <w:color w:val="000000"/>
          <w:sz w:val="24"/>
          <w:szCs w:val="24"/>
          <w:lang w:val="en-GB"/>
        </w:rPr>
        <w:t xml:space="preserve"> </w:t>
      </w:r>
      <w:proofErr w:type="spellStart"/>
      <w:r w:rsidRPr="00100028">
        <w:rPr>
          <w:rFonts w:asciiTheme="majorBidi" w:hAnsiTheme="majorBidi" w:cstheme="majorBidi"/>
          <w:i/>
          <w:color w:val="000000"/>
          <w:sz w:val="24"/>
          <w:szCs w:val="24"/>
          <w:lang w:val="en-GB"/>
        </w:rPr>
        <w:t>Badawi</w:t>
      </w:r>
      <w:proofErr w:type="spellEnd"/>
      <w:r w:rsidRPr="00100028">
        <w:rPr>
          <w:rFonts w:asciiTheme="majorBidi" w:hAnsiTheme="majorBidi" w:cstheme="majorBidi"/>
          <w:i/>
          <w:color w:val="000000"/>
          <w:sz w:val="24"/>
          <w:szCs w:val="24"/>
          <w:lang w:val="en-GB"/>
        </w:rPr>
        <w:t xml:space="preserve"> Sha</w:t>
      </w:r>
      <w:r w:rsidR="00F130C3" w:rsidRPr="00100028">
        <w:rPr>
          <w:rFonts w:asciiTheme="majorBidi" w:hAnsiTheme="majorBidi" w:cstheme="majorBidi"/>
          <w:i/>
          <w:color w:val="000000"/>
          <w:sz w:val="24"/>
          <w:szCs w:val="24"/>
          <w:lang w:val="en-GB"/>
        </w:rPr>
        <w:t>’</w:t>
      </w:r>
      <w:r w:rsidRPr="00100028">
        <w:rPr>
          <w:rFonts w:asciiTheme="majorBidi" w:hAnsiTheme="majorBidi" w:cstheme="majorBidi"/>
          <w:i/>
          <w:color w:val="000000"/>
          <w:sz w:val="24"/>
          <w:szCs w:val="24"/>
          <w:lang w:val="en-GB"/>
        </w:rPr>
        <w:t>ban v. Commissioner for Migration and Statistics</w:t>
      </w:r>
      <w:r w:rsidR="00B646BF" w:rsidRPr="00100028">
        <w:rPr>
          <w:rFonts w:asciiTheme="majorBidi" w:hAnsiTheme="majorBidi" w:cstheme="majorBidi"/>
          <w:color w:val="000000"/>
          <w:sz w:val="24"/>
          <w:szCs w:val="24"/>
          <w:lang w:val="en-GB"/>
        </w:rPr>
        <w:t>, the applicant</w:t>
      </w:r>
      <w:r w:rsidRPr="00100028">
        <w:rPr>
          <w:rFonts w:asciiTheme="majorBidi" w:hAnsiTheme="majorBidi" w:cstheme="majorBidi"/>
          <w:color w:val="000000"/>
          <w:sz w:val="24"/>
          <w:szCs w:val="24"/>
          <w:lang w:val="en-GB"/>
        </w:rPr>
        <w:t xml:space="preserve"> was a Palestinian citizen and had acquired Trans-Jordanian </w:t>
      </w:r>
      <w:r w:rsidR="003B4898" w:rsidRPr="00100028">
        <w:rPr>
          <w:rFonts w:asciiTheme="majorBidi" w:hAnsiTheme="majorBidi" w:cstheme="majorBidi"/>
          <w:color w:val="000000"/>
          <w:sz w:val="24"/>
          <w:szCs w:val="24"/>
          <w:lang w:val="en-GB"/>
        </w:rPr>
        <w:t>citizenship</w:t>
      </w:r>
      <w:r w:rsidR="00B646BF" w:rsidRPr="00100028">
        <w:rPr>
          <w:rFonts w:asciiTheme="majorBidi" w:hAnsiTheme="majorBidi" w:cstheme="majorBidi"/>
          <w:color w:val="000000"/>
          <w:sz w:val="24"/>
          <w:szCs w:val="24"/>
          <w:lang w:val="en-GB"/>
        </w:rPr>
        <w:t xml:space="preserve"> by naturalization. Mr Sha</w:t>
      </w:r>
      <w:r w:rsidR="00F130C3" w:rsidRPr="00100028">
        <w:rPr>
          <w:rFonts w:asciiTheme="majorBidi" w:hAnsiTheme="majorBidi" w:cstheme="majorBidi"/>
          <w:color w:val="000000"/>
          <w:sz w:val="24"/>
          <w:szCs w:val="24"/>
          <w:lang w:val="en-GB"/>
        </w:rPr>
        <w:t>’</w:t>
      </w:r>
      <w:r w:rsidR="00B646BF" w:rsidRPr="00100028">
        <w:rPr>
          <w:rFonts w:asciiTheme="majorBidi" w:hAnsiTheme="majorBidi" w:cstheme="majorBidi"/>
          <w:color w:val="000000"/>
          <w:sz w:val="24"/>
          <w:szCs w:val="24"/>
          <w:lang w:val="en-GB"/>
        </w:rPr>
        <w:t>ban</w:t>
      </w:r>
      <w:r w:rsidRPr="00100028">
        <w:rPr>
          <w:rFonts w:asciiTheme="majorBidi" w:hAnsiTheme="majorBidi" w:cstheme="majorBidi"/>
          <w:color w:val="000000"/>
          <w:sz w:val="24"/>
          <w:szCs w:val="24"/>
          <w:lang w:val="en-GB"/>
        </w:rPr>
        <w:t xml:space="preserve"> argued that </w:t>
      </w:r>
      <w:r w:rsidR="00893F12"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 xml:space="preserve">Trans-Jordan is a territory and not a </w:t>
      </w:r>
      <w:r w:rsidR="00FE2B16" w:rsidRPr="00100028">
        <w:rPr>
          <w:rFonts w:asciiTheme="majorBidi" w:hAnsiTheme="majorBidi" w:cstheme="majorBidi"/>
          <w:color w:val="000000"/>
          <w:sz w:val="24"/>
          <w:szCs w:val="24"/>
          <w:lang w:val="en-GB"/>
        </w:rPr>
        <w:t>State</w:t>
      </w:r>
      <w:r w:rsidRPr="00100028">
        <w:rPr>
          <w:rFonts w:asciiTheme="majorBidi" w:hAnsiTheme="majorBidi" w:cstheme="majorBidi"/>
          <w:color w:val="000000"/>
          <w:sz w:val="24"/>
          <w:szCs w:val="24"/>
          <w:lang w:val="en-GB"/>
        </w:rPr>
        <w:t xml:space="preserve"> </w:t>
      </w:r>
      <w:r w:rsidR="009C63C1"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w:t>
      </w:r>
      <w:r w:rsidR="00B646BF" w:rsidRPr="00100028">
        <w:rPr>
          <w:rFonts w:asciiTheme="majorBidi" w:hAnsiTheme="majorBidi" w:cstheme="majorBidi"/>
          <w:color w:val="000000"/>
          <w:sz w:val="24"/>
          <w:szCs w:val="24"/>
          <w:lang w:val="en-GB"/>
        </w:rPr>
        <w:t xml:space="preserve"> and</w:t>
      </w:r>
      <w:r w:rsidR="009C63C1"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 xml:space="preserve"> in any case it is not a foreign </w:t>
      </w:r>
      <w:r w:rsidR="00FE2B16" w:rsidRPr="00100028">
        <w:rPr>
          <w:rFonts w:asciiTheme="majorBidi" w:hAnsiTheme="majorBidi" w:cstheme="majorBidi"/>
          <w:color w:val="000000"/>
          <w:sz w:val="24"/>
          <w:szCs w:val="24"/>
          <w:lang w:val="en-GB"/>
        </w:rPr>
        <w:t>State</w:t>
      </w:r>
      <w:r w:rsidRPr="00100028">
        <w:rPr>
          <w:rFonts w:asciiTheme="majorBidi" w:hAnsiTheme="majorBidi" w:cstheme="majorBidi"/>
          <w:color w:val="000000"/>
          <w:sz w:val="24"/>
          <w:szCs w:val="24"/>
          <w:lang w:val="en-GB"/>
        </w:rPr>
        <w:t xml:space="preserve"> [in relation to Palestine]</w:t>
      </w:r>
      <w:r w:rsidR="009C63C1" w:rsidRPr="00100028">
        <w:rPr>
          <w:rFonts w:asciiTheme="majorBidi" w:hAnsiTheme="majorBidi" w:cstheme="majorBidi"/>
          <w:sz w:val="24"/>
          <w:szCs w:val="24"/>
          <w:lang w:val="en-GB"/>
        </w:rPr>
        <w:t>”</w:t>
      </w:r>
      <w:r w:rsidR="00574509"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 xml:space="preserve"> The Court, in a </w:t>
      </w:r>
      <w:r w:rsidR="00574509" w:rsidRPr="00100028">
        <w:rPr>
          <w:rFonts w:asciiTheme="majorBidi" w:hAnsiTheme="majorBidi" w:cstheme="majorBidi"/>
          <w:color w:val="000000"/>
          <w:sz w:val="24"/>
          <w:szCs w:val="24"/>
          <w:lang w:val="en-GB"/>
        </w:rPr>
        <w:t xml:space="preserve">landmark </w:t>
      </w:r>
      <w:r w:rsidRPr="00100028">
        <w:rPr>
          <w:rFonts w:asciiTheme="majorBidi" w:hAnsiTheme="majorBidi" w:cstheme="majorBidi"/>
          <w:color w:val="000000"/>
          <w:sz w:val="24"/>
          <w:szCs w:val="24"/>
          <w:lang w:val="en-GB"/>
        </w:rPr>
        <w:t xml:space="preserve">decision that summarized the status of Palestine </w:t>
      </w:r>
      <w:r w:rsidRPr="00100028">
        <w:rPr>
          <w:rFonts w:asciiTheme="majorBidi" w:hAnsiTheme="majorBidi" w:cstheme="majorBidi"/>
          <w:iCs/>
          <w:color w:val="000000"/>
          <w:sz w:val="24"/>
          <w:szCs w:val="24"/>
          <w:lang w:val="en-GB"/>
        </w:rPr>
        <w:t>vis-à-vis</w:t>
      </w:r>
      <w:r w:rsidRPr="00100028">
        <w:rPr>
          <w:rFonts w:asciiTheme="majorBidi" w:hAnsiTheme="majorBidi" w:cstheme="majorBidi"/>
          <w:color w:val="000000"/>
          <w:sz w:val="24"/>
          <w:szCs w:val="24"/>
          <w:lang w:val="en-GB"/>
        </w:rPr>
        <w:t xml:space="preserve"> Trans-J</w:t>
      </w:r>
      <w:r w:rsidR="00D805F4" w:rsidRPr="00100028">
        <w:rPr>
          <w:rFonts w:asciiTheme="majorBidi" w:hAnsiTheme="majorBidi" w:cstheme="majorBidi"/>
          <w:color w:val="000000"/>
          <w:sz w:val="24"/>
          <w:szCs w:val="24"/>
          <w:lang w:val="en-GB"/>
        </w:rPr>
        <w:t>ordan regard</w:t>
      </w:r>
      <w:r w:rsidR="00B646BF" w:rsidRPr="00100028">
        <w:rPr>
          <w:rFonts w:asciiTheme="majorBidi" w:hAnsiTheme="majorBidi" w:cstheme="majorBidi"/>
          <w:color w:val="000000"/>
          <w:sz w:val="24"/>
          <w:szCs w:val="24"/>
          <w:lang w:val="en-GB"/>
        </w:rPr>
        <w:t>i</w:t>
      </w:r>
      <w:r w:rsidR="00D805F4" w:rsidRPr="00100028">
        <w:rPr>
          <w:rFonts w:asciiTheme="majorBidi" w:hAnsiTheme="majorBidi" w:cstheme="majorBidi"/>
          <w:color w:val="000000"/>
          <w:sz w:val="24"/>
          <w:szCs w:val="24"/>
          <w:lang w:val="en-GB"/>
        </w:rPr>
        <w:t>n</w:t>
      </w:r>
      <w:r w:rsidR="00B646BF" w:rsidRPr="00100028">
        <w:rPr>
          <w:rFonts w:asciiTheme="majorBidi" w:hAnsiTheme="majorBidi" w:cstheme="majorBidi"/>
          <w:color w:val="000000"/>
          <w:sz w:val="24"/>
          <w:szCs w:val="24"/>
          <w:lang w:val="en-GB"/>
        </w:rPr>
        <w:t>g</w:t>
      </w:r>
      <w:r w:rsidRPr="00100028">
        <w:rPr>
          <w:rFonts w:asciiTheme="majorBidi" w:hAnsiTheme="majorBidi" w:cstheme="majorBidi"/>
          <w:color w:val="000000"/>
          <w:sz w:val="24"/>
          <w:szCs w:val="24"/>
          <w:lang w:val="en-GB"/>
        </w:rPr>
        <w:t xml:space="preserve"> </w:t>
      </w:r>
      <w:r w:rsidR="003B4898" w:rsidRPr="00100028">
        <w:rPr>
          <w:rFonts w:asciiTheme="majorBidi" w:hAnsiTheme="majorBidi" w:cstheme="majorBidi"/>
          <w:color w:val="000000"/>
          <w:sz w:val="24"/>
          <w:szCs w:val="24"/>
          <w:lang w:val="en-GB"/>
        </w:rPr>
        <w:t>citizenship</w:t>
      </w:r>
      <w:r w:rsidR="009C63C1" w:rsidRPr="00100028">
        <w:rPr>
          <w:rFonts w:asciiTheme="majorBidi" w:hAnsiTheme="majorBidi" w:cstheme="majorBidi"/>
          <w:color w:val="000000"/>
          <w:sz w:val="24"/>
          <w:szCs w:val="24"/>
          <w:lang w:val="en-GB"/>
        </w:rPr>
        <w:t>, held:</w:t>
      </w:r>
    </w:p>
    <w:p w:rsidR="009C63C1" w:rsidRPr="00100028" w:rsidRDefault="009C63C1" w:rsidP="00100028">
      <w:pPr>
        <w:bidi w:val="0"/>
        <w:jc w:val="both"/>
        <w:rPr>
          <w:rFonts w:asciiTheme="majorBidi" w:hAnsiTheme="majorBidi" w:cstheme="majorBidi"/>
          <w:color w:val="000000"/>
          <w:sz w:val="24"/>
          <w:szCs w:val="24"/>
          <w:lang w:val="en-GB"/>
        </w:rPr>
      </w:pPr>
    </w:p>
    <w:p w:rsidR="009C63C1" w:rsidRPr="00100028" w:rsidRDefault="005D3CE8" w:rsidP="00100028">
      <w:pPr>
        <w:bidi w:val="0"/>
        <w:ind w:left="720"/>
        <w:jc w:val="both"/>
        <w:rPr>
          <w:rFonts w:asciiTheme="majorBidi" w:hAnsiTheme="majorBidi" w:cstheme="majorBidi"/>
          <w:color w:val="000000"/>
          <w:sz w:val="24"/>
          <w:szCs w:val="24"/>
          <w:lang w:val="en-GB"/>
        </w:rPr>
      </w:pPr>
      <w:r w:rsidRPr="00100028">
        <w:rPr>
          <w:rFonts w:asciiTheme="majorBidi" w:hAnsiTheme="majorBidi" w:cstheme="majorBidi"/>
          <w:color w:val="000000"/>
          <w:sz w:val="24"/>
          <w:szCs w:val="24"/>
          <w:lang w:val="en-GB"/>
        </w:rPr>
        <w:t>Now, Trans-Jordan has a government entirely independent of Palestine</w:t>
      </w:r>
      <w:r w:rsidR="00B646BF"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 xml:space="preserve"> </w:t>
      </w:r>
      <w:r w:rsidR="009C63C1"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w:t>
      </w:r>
      <w:r w:rsidR="009C63C1"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 xml:space="preserve"> Trans-Jordan can, as in this case, grant a person naturalisation, </w:t>
      </w:r>
      <w:r w:rsidRPr="00100028">
        <w:rPr>
          <w:rFonts w:asciiTheme="majorBidi" w:hAnsiTheme="majorBidi" w:cstheme="majorBidi"/>
          <w:i/>
          <w:color w:val="000000"/>
          <w:sz w:val="24"/>
          <w:szCs w:val="24"/>
          <w:lang w:val="en-GB"/>
        </w:rPr>
        <w:t>i.e.</w:t>
      </w:r>
      <w:r w:rsidRPr="00100028">
        <w:rPr>
          <w:rFonts w:asciiTheme="majorBidi" w:hAnsiTheme="majorBidi" w:cstheme="majorBidi"/>
          <w:color w:val="000000"/>
          <w:sz w:val="24"/>
          <w:szCs w:val="24"/>
          <w:lang w:val="en-GB"/>
        </w:rPr>
        <w:t xml:space="preserve"> grant an alien or foreigner Trans-Jordan nationality which is a separate nationality and distinct from that of Palestine citizenship</w:t>
      </w:r>
      <w:r w:rsidR="00B646BF"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 xml:space="preserve"> </w:t>
      </w:r>
      <w:r w:rsidR="009C63C1"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w:t>
      </w:r>
      <w:r w:rsidR="009C63C1"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 xml:space="preserve"> </w:t>
      </w:r>
      <w:r w:rsidRPr="00100028">
        <w:rPr>
          <w:rFonts w:asciiTheme="majorBidi" w:hAnsiTheme="majorBidi" w:cstheme="majorBidi"/>
          <w:i/>
          <w:color w:val="000000"/>
          <w:sz w:val="24"/>
          <w:szCs w:val="24"/>
          <w:lang w:val="en-GB"/>
        </w:rPr>
        <w:t>Palestinians and Trans-Jordanians are foreigners</w:t>
      </w:r>
      <w:r w:rsidR="00B646BF" w:rsidRPr="00100028">
        <w:rPr>
          <w:rFonts w:asciiTheme="majorBidi" w:hAnsiTheme="majorBidi" w:cstheme="majorBidi"/>
          <w:iCs/>
          <w:color w:val="000000"/>
          <w:sz w:val="24"/>
          <w:szCs w:val="24"/>
          <w:lang w:val="en-GB"/>
        </w:rPr>
        <w:t>.</w:t>
      </w:r>
      <w:r w:rsidRPr="00100028">
        <w:rPr>
          <w:rFonts w:asciiTheme="majorBidi" w:hAnsiTheme="majorBidi" w:cstheme="majorBidi"/>
          <w:iCs/>
          <w:color w:val="000000"/>
          <w:sz w:val="24"/>
          <w:szCs w:val="24"/>
          <w:lang w:val="en-GB"/>
        </w:rPr>
        <w:t xml:space="preserve"> </w:t>
      </w:r>
      <w:r w:rsidR="009C63C1" w:rsidRPr="00100028">
        <w:rPr>
          <w:rFonts w:asciiTheme="majorBidi" w:hAnsiTheme="majorBidi" w:cstheme="majorBidi"/>
          <w:iCs/>
          <w:color w:val="000000"/>
          <w:sz w:val="24"/>
          <w:szCs w:val="24"/>
          <w:lang w:val="en-GB"/>
        </w:rPr>
        <w:t>[</w:t>
      </w:r>
      <w:r w:rsidRPr="00100028">
        <w:rPr>
          <w:rFonts w:asciiTheme="majorBidi" w:hAnsiTheme="majorBidi" w:cstheme="majorBidi"/>
          <w:iCs/>
          <w:color w:val="000000"/>
          <w:sz w:val="24"/>
          <w:szCs w:val="24"/>
          <w:lang w:val="en-GB"/>
        </w:rPr>
        <w:t>...</w:t>
      </w:r>
      <w:r w:rsidR="009C63C1" w:rsidRPr="00100028">
        <w:rPr>
          <w:rFonts w:asciiTheme="majorBidi" w:hAnsiTheme="majorBidi" w:cstheme="majorBidi"/>
          <w:iCs/>
          <w:color w:val="000000"/>
          <w:sz w:val="24"/>
          <w:szCs w:val="24"/>
          <w:lang w:val="en-GB"/>
        </w:rPr>
        <w:t>]</w:t>
      </w:r>
      <w:r w:rsidRPr="00100028">
        <w:rPr>
          <w:rFonts w:asciiTheme="majorBidi" w:hAnsiTheme="majorBidi" w:cstheme="majorBidi"/>
          <w:color w:val="000000"/>
          <w:sz w:val="24"/>
          <w:szCs w:val="24"/>
          <w:lang w:val="en-GB"/>
        </w:rPr>
        <w:t xml:space="preserve"> Trans-Jordan must be regarded as a foreign </w:t>
      </w:r>
      <w:r w:rsidR="00FE2B16" w:rsidRPr="00100028">
        <w:rPr>
          <w:rFonts w:asciiTheme="majorBidi" w:hAnsiTheme="majorBidi" w:cstheme="majorBidi"/>
          <w:color w:val="000000"/>
          <w:sz w:val="24"/>
          <w:szCs w:val="24"/>
          <w:lang w:val="en-GB"/>
        </w:rPr>
        <w:t>State</w:t>
      </w:r>
      <w:r w:rsidRPr="00100028">
        <w:rPr>
          <w:rFonts w:asciiTheme="majorBidi" w:hAnsiTheme="majorBidi" w:cstheme="majorBidi"/>
          <w:color w:val="000000"/>
          <w:sz w:val="24"/>
          <w:szCs w:val="24"/>
          <w:lang w:val="en-GB"/>
        </w:rPr>
        <w:t xml:space="preserve"> in relation to Palestine</w:t>
      </w:r>
      <w:r w:rsidR="00574509" w:rsidRPr="00100028">
        <w:rPr>
          <w:rFonts w:asciiTheme="majorBidi" w:hAnsiTheme="majorBidi" w:cstheme="majorBidi"/>
          <w:color w:val="000000"/>
          <w:sz w:val="24"/>
          <w:szCs w:val="24"/>
          <w:lang w:val="en-GB"/>
        </w:rPr>
        <w:t>.</w:t>
      </w:r>
      <w:r w:rsidR="00574509" w:rsidRPr="00100028">
        <w:rPr>
          <w:rStyle w:val="FootnoteReference"/>
          <w:rFonts w:asciiTheme="majorBidi" w:hAnsiTheme="majorBidi" w:cstheme="majorBidi"/>
          <w:color w:val="000000"/>
          <w:sz w:val="24"/>
          <w:szCs w:val="24"/>
          <w:lang w:val="en-GB"/>
        </w:rPr>
        <w:footnoteReference w:id="29"/>
      </w:r>
    </w:p>
    <w:p w:rsidR="009C63C1" w:rsidRPr="00100028" w:rsidRDefault="009C63C1" w:rsidP="00100028">
      <w:pPr>
        <w:bidi w:val="0"/>
        <w:jc w:val="both"/>
        <w:rPr>
          <w:rFonts w:asciiTheme="majorBidi" w:hAnsiTheme="majorBidi" w:cstheme="majorBidi"/>
          <w:color w:val="000000"/>
          <w:sz w:val="24"/>
          <w:szCs w:val="24"/>
          <w:lang w:val="en-GB"/>
        </w:rPr>
      </w:pPr>
    </w:p>
    <w:p w:rsidR="00574509" w:rsidRPr="00100028" w:rsidRDefault="00574509" w:rsidP="00100028">
      <w:pPr>
        <w:bidi w:val="0"/>
        <w:jc w:val="both"/>
        <w:rPr>
          <w:rFonts w:asciiTheme="majorBidi" w:hAnsiTheme="majorBidi" w:cstheme="majorBidi"/>
          <w:color w:val="000000"/>
          <w:sz w:val="24"/>
          <w:szCs w:val="24"/>
          <w:lang w:val="en-GB"/>
        </w:rPr>
      </w:pPr>
      <w:r w:rsidRPr="00100028">
        <w:rPr>
          <w:rFonts w:asciiTheme="majorBidi" w:hAnsiTheme="majorBidi" w:cstheme="majorBidi"/>
          <w:color w:val="000000"/>
          <w:sz w:val="24"/>
          <w:szCs w:val="24"/>
          <w:lang w:val="en-GB"/>
        </w:rPr>
        <w:lastRenderedPageBreak/>
        <w:t>Thus, there are no doubts that Jordanian and Palestinian citizenships were distinct</w:t>
      </w:r>
      <w:r w:rsidR="003959CE" w:rsidRPr="00100028">
        <w:rPr>
          <w:rFonts w:asciiTheme="majorBidi" w:hAnsiTheme="majorBidi" w:cstheme="majorBidi"/>
          <w:color w:val="000000"/>
          <w:sz w:val="24"/>
          <w:szCs w:val="24"/>
          <w:lang w:val="en-GB"/>
        </w:rPr>
        <w:t xml:space="preserve"> from each other</w:t>
      </w:r>
      <w:r w:rsidRPr="00100028">
        <w:rPr>
          <w:rFonts w:asciiTheme="majorBidi" w:hAnsiTheme="majorBidi" w:cstheme="majorBidi"/>
          <w:color w:val="000000"/>
          <w:sz w:val="24"/>
          <w:szCs w:val="24"/>
          <w:lang w:val="en-GB"/>
        </w:rPr>
        <w:t xml:space="preserve"> before </w:t>
      </w:r>
      <w:r w:rsidR="003D2C6D" w:rsidRPr="00100028">
        <w:rPr>
          <w:rFonts w:asciiTheme="majorBidi" w:hAnsiTheme="majorBidi" w:cstheme="majorBidi"/>
          <w:color w:val="000000"/>
          <w:sz w:val="24"/>
          <w:szCs w:val="24"/>
          <w:lang w:val="en-GB"/>
        </w:rPr>
        <w:t xml:space="preserve">15 May </w:t>
      </w:r>
      <w:r w:rsidRPr="00100028">
        <w:rPr>
          <w:rFonts w:asciiTheme="majorBidi" w:hAnsiTheme="majorBidi" w:cstheme="majorBidi"/>
          <w:color w:val="000000"/>
          <w:sz w:val="24"/>
          <w:szCs w:val="24"/>
          <w:lang w:val="en-GB"/>
        </w:rPr>
        <w:t>1948 in law ad practice.</w:t>
      </w:r>
    </w:p>
    <w:p w:rsidR="00A14439" w:rsidRPr="00100028" w:rsidRDefault="00A14439"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Under British rule, the West Bank was an</w:t>
      </w:r>
      <w:r w:rsidR="003959CE" w:rsidRPr="00100028">
        <w:rPr>
          <w:rFonts w:asciiTheme="majorBidi" w:hAnsiTheme="majorBidi" w:cstheme="majorBidi"/>
          <w:sz w:val="24"/>
          <w:szCs w:val="24"/>
          <w:lang w:val="en-GB"/>
        </w:rPr>
        <w:t xml:space="preserve"> integral part of Palestine and </w:t>
      </w:r>
      <w:r w:rsidRPr="00100028">
        <w:rPr>
          <w:rFonts w:asciiTheme="majorBidi" w:hAnsiTheme="majorBidi" w:cstheme="majorBidi"/>
          <w:sz w:val="24"/>
          <w:szCs w:val="24"/>
          <w:lang w:val="en-GB"/>
        </w:rPr>
        <w:t>did not form a political or administrative entity. Its inhabitants were Palestinian citizens. During the 1948</w:t>
      </w:r>
      <w:r w:rsidR="003D2C6D" w:rsidRPr="00100028">
        <w:rPr>
          <w:rFonts w:asciiTheme="majorBidi" w:hAnsiTheme="majorBidi" w:cstheme="majorBidi"/>
          <w:sz w:val="24"/>
          <w:szCs w:val="24"/>
          <w:lang w:val="en-GB"/>
        </w:rPr>
        <w:t>-1949</w:t>
      </w:r>
      <w:r w:rsidRPr="00100028">
        <w:rPr>
          <w:rFonts w:asciiTheme="majorBidi" w:hAnsiTheme="majorBidi" w:cstheme="majorBidi"/>
          <w:sz w:val="24"/>
          <w:szCs w:val="24"/>
          <w:lang w:val="en-GB"/>
        </w:rPr>
        <w:t xml:space="preserve"> war, the Jordanian army entered parts of Palestine</w:t>
      </w:r>
      <w:r w:rsidR="003D2C6D" w:rsidRPr="00100028">
        <w:rPr>
          <w:rFonts w:asciiTheme="majorBidi" w:hAnsiTheme="majorBidi" w:cstheme="majorBidi"/>
          <w:sz w:val="24"/>
          <w:szCs w:val="24"/>
          <w:lang w:val="en-GB"/>
        </w:rPr>
        <w:t xml:space="preserve"> that were designated for the Arab State or to the international city of Jerusalem in the United Nations Partition Plan of 29 November 1947</w:t>
      </w:r>
      <w:r w:rsidRPr="00100028">
        <w:rPr>
          <w:rFonts w:asciiTheme="majorBidi" w:hAnsiTheme="majorBidi" w:cstheme="majorBidi"/>
          <w:sz w:val="24"/>
          <w:szCs w:val="24"/>
          <w:lang w:val="en-GB"/>
        </w:rPr>
        <w:t>. The West Bank emerged as an entity after Jordan</w:t>
      </w:r>
      <w:r w:rsidR="00F130C3"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 xml:space="preserve">s </w:t>
      </w:r>
      <w:r w:rsidR="003D2C6D" w:rsidRPr="00100028">
        <w:rPr>
          <w:rFonts w:asciiTheme="majorBidi" w:hAnsiTheme="majorBidi" w:cstheme="majorBidi"/>
          <w:sz w:val="24"/>
          <w:szCs w:val="24"/>
          <w:lang w:val="en-GB"/>
        </w:rPr>
        <w:t>signature</w:t>
      </w:r>
      <w:r w:rsidRPr="00100028">
        <w:rPr>
          <w:rFonts w:asciiTheme="majorBidi" w:hAnsiTheme="majorBidi" w:cstheme="majorBidi"/>
          <w:sz w:val="24"/>
          <w:szCs w:val="24"/>
          <w:lang w:val="en-GB"/>
        </w:rPr>
        <w:t xml:space="preserve"> of an a</w:t>
      </w:r>
      <w:r w:rsidR="005C0EC4" w:rsidRPr="00100028">
        <w:rPr>
          <w:rFonts w:asciiTheme="majorBidi" w:hAnsiTheme="majorBidi" w:cstheme="majorBidi"/>
          <w:sz w:val="24"/>
          <w:szCs w:val="24"/>
          <w:lang w:val="en-GB"/>
        </w:rPr>
        <w:t xml:space="preserve">rmistice agreement with </w:t>
      </w:r>
      <w:r w:rsidR="003D2C6D" w:rsidRPr="00100028">
        <w:rPr>
          <w:rFonts w:asciiTheme="majorBidi" w:hAnsiTheme="majorBidi" w:cstheme="majorBidi"/>
          <w:sz w:val="24"/>
          <w:szCs w:val="24"/>
          <w:lang w:val="en-GB"/>
        </w:rPr>
        <w:t xml:space="preserve">the State of </w:t>
      </w:r>
      <w:r w:rsidR="005C0EC4" w:rsidRPr="00100028">
        <w:rPr>
          <w:rFonts w:asciiTheme="majorBidi" w:hAnsiTheme="majorBidi" w:cstheme="majorBidi"/>
          <w:sz w:val="24"/>
          <w:szCs w:val="24"/>
          <w:lang w:val="en-GB"/>
        </w:rPr>
        <w:t>Israel o</w:t>
      </w:r>
      <w:r w:rsidRPr="00100028">
        <w:rPr>
          <w:rFonts w:asciiTheme="majorBidi" w:hAnsiTheme="majorBidi" w:cstheme="majorBidi"/>
          <w:sz w:val="24"/>
          <w:szCs w:val="24"/>
          <w:lang w:val="en-GB"/>
        </w:rPr>
        <w:t xml:space="preserve">n </w:t>
      </w:r>
      <w:r w:rsidR="005C0EC4" w:rsidRPr="00100028">
        <w:rPr>
          <w:rFonts w:asciiTheme="majorBidi" w:hAnsiTheme="majorBidi" w:cstheme="majorBidi"/>
          <w:sz w:val="24"/>
          <w:szCs w:val="24"/>
          <w:lang w:val="en-GB"/>
        </w:rPr>
        <w:t xml:space="preserve">3 April </w:t>
      </w:r>
      <w:r w:rsidRPr="00100028">
        <w:rPr>
          <w:rFonts w:asciiTheme="majorBidi" w:hAnsiTheme="majorBidi" w:cstheme="majorBidi"/>
          <w:sz w:val="24"/>
          <w:szCs w:val="24"/>
          <w:lang w:val="en-GB"/>
        </w:rPr>
        <w:t>1949.</w:t>
      </w:r>
      <w:r w:rsidR="00C70CCE" w:rsidRPr="00100028">
        <w:rPr>
          <w:rStyle w:val="FootnoteReference"/>
          <w:rFonts w:asciiTheme="majorBidi" w:hAnsiTheme="majorBidi" w:cstheme="majorBidi"/>
          <w:sz w:val="24"/>
          <w:szCs w:val="24"/>
          <w:lang w:val="en-GB"/>
        </w:rPr>
        <w:footnoteReference w:id="30"/>
      </w:r>
      <w:r w:rsidRPr="00100028">
        <w:rPr>
          <w:rFonts w:asciiTheme="majorBidi" w:hAnsiTheme="majorBidi" w:cstheme="majorBidi"/>
          <w:sz w:val="24"/>
          <w:szCs w:val="24"/>
          <w:lang w:val="en-GB"/>
        </w:rPr>
        <w:t xml:space="preserve"> This agreement created what has become known as the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green line</w:t>
      </w:r>
      <w:r w:rsidR="009C63C1"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w:t>
      </w:r>
      <w:r w:rsidR="002652FE" w:rsidRPr="00100028">
        <w:rPr>
          <w:rFonts w:asciiTheme="majorBidi" w:hAnsiTheme="majorBidi" w:cstheme="majorBidi"/>
          <w:sz w:val="24"/>
          <w:szCs w:val="24"/>
          <w:lang w:val="en-GB"/>
        </w:rPr>
        <w:t xml:space="preserve"> which refers to</w:t>
      </w:r>
      <w:r w:rsidRPr="00100028">
        <w:rPr>
          <w:rFonts w:asciiTheme="majorBidi" w:hAnsiTheme="majorBidi" w:cstheme="majorBidi"/>
          <w:sz w:val="24"/>
          <w:szCs w:val="24"/>
          <w:lang w:val="en-GB"/>
        </w:rPr>
        <w:t xml:space="preserve"> </w:t>
      </w:r>
      <w:r w:rsidR="002652FE" w:rsidRPr="00100028">
        <w:rPr>
          <w:rFonts w:asciiTheme="majorBidi" w:hAnsiTheme="majorBidi" w:cstheme="majorBidi"/>
          <w:sz w:val="24"/>
          <w:szCs w:val="24"/>
          <w:lang w:val="en-GB"/>
        </w:rPr>
        <w:t xml:space="preserve">the </w:t>
      </w:r>
      <w:r w:rsidRPr="00100028">
        <w:rPr>
          <w:rFonts w:asciiTheme="majorBidi" w:hAnsiTheme="majorBidi" w:cstheme="majorBidi"/>
          <w:sz w:val="24"/>
          <w:szCs w:val="24"/>
          <w:lang w:val="en-GB"/>
        </w:rPr>
        <w:t xml:space="preserve">armistice lines </w:t>
      </w:r>
      <w:r w:rsidR="003D2C6D" w:rsidRPr="00100028">
        <w:rPr>
          <w:rFonts w:asciiTheme="majorBidi" w:hAnsiTheme="majorBidi" w:cstheme="majorBidi"/>
          <w:sz w:val="24"/>
          <w:szCs w:val="24"/>
          <w:lang w:val="en-GB"/>
        </w:rPr>
        <w:t xml:space="preserve">that were </w:t>
      </w:r>
      <w:r w:rsidRPr="00100028">
        <w:rPr>
          <w:rFonts w:asciiTheme="majorBidi" w:hAnsiTheme="majorBidi" w:cstheme="majorBidi"/>
          <w:sz w:val="24"/>
          <w:szCs w:val="24"/>
          <w:lang w:val="en-GB"/>
        </w:rPr>
        <w:t xml:space="preserve">drawn up on the maps attached to the aforesaid agreement. As it is located on the western side of the Jordan River, this area of Palestine was de facto called the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West Bank</w:t>
      </w:r>
      <w:r w:rsidR="009C63C1"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 xml:space="preserve"> as opposed to the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East Bank</w:t>
      </w:r>
      <w:r w:rsidR="009C63C1" w:rsidRPr="00100028">
        <w:rPr>
          <w:rFonts w:asciiTheme="majorBidi" w:hAnsiTheme="majorBidi" w:cstheme="majorBidi"/>
          <w:sz w:val="24"/>
          <w:szCs w:val="24"/>
          <w:lang w:val="en-GB"/>
        </w:rPr>
        <w:t>”</w:t>
      </w:r>
      <w:r w:rsidR="003959CE" w:rsidRPr="00100028">
        <w:rPr>
          <w:rFonts w:asciiTheme="majorBidi" w:hAnsiTheme="majorBidi" w:cstheme="majorBidi"/>
          <w:sz w:val="24"/>
          <w:szCs w:val="24"/>
          <w:lang w:val="en-GB"/>
        </w:rPr>
        <w:t xml:space="preserve"> of the same R</w:t>
      </w:r>
      <w:r w:rsidRPr="00100028">
        <w:rPr>
          <w:rFonts w:asciiTheme="majorBidi" w:hAnsiTheme="majorBidi" w:cstheme="majorBidi"/>
          <w:sz w:val="24"/>
          <w:szCs w:val="24"/>
          <w:lang w:val="en-GB"/>
        </w:rPr>
        <w:t>iver, namely the Hashemite Kingdom</w:t>
      </w:r>
      <w:r w:rsidR="00574509" w:rsidRPr="00100028">
        <w:rPr>
          <w:rFonts w:asciiTheme="majorBidi" w:hAnsiTheme="majorBidi" w:cstheme="majorBidi"/>
          <w:sz w:val="24"/>
          <w:szCs w:val="24"/>
          <w:lang w:val="en-GB"/>
        </w:rPr>
        <w:t xml:space="preserve"> or the former Trans-Jordan</w:t>
      </w:r>
      <w:r w:rsidRPr="00100028">
        <w:rPr>
          <w:rFonts w:asciiTheme="majorBidi" w:hAnsiTheme="majorBidi" w:cstheme="majorBidi"/>
          <w:sz w:val="24"/>
          <w:szCs w:val="24"/>
          <w:lang w:val="en-GB"/>
        </w:rPr>
        <w:t>. J</w:t>
      </w:r>
      <w:r w:rsidR="00574509" w:rsidRPr="00100028">
        <w:rPr>
          <w:rFonts w:asciiTheme="majorBidi" w:hAnsiTheme="majorBidi" w:cstheme="majorBidi"/>
          <w:sz w:val="24"/>
          <w:szCs w:val="24"/>
          <w:lang w:val="en-GB"/>
        </w:rPr>
        <w:t>ordan continued ru</w:t>
      </w:r>
      <w:r w:rsidR="006E0769" w:rsidRPr="00100028">
        <w:rPr>
          <w:rFonts w:asciiTheme="majorBidi" w:hAnsiTheme="majorBidi" w:cstheme="majorBidi"/>
          <w:sz w:val="24"/>
          <w:szCs w:val="24"/>
          <w:lang w:val="en-GB"/>
        </w:rPr>
        <w:t>ling the area until 4 June 1967,</w:t>
      </w:r>
      <w:r w:rsidR="00574509" w:rsidRPr="00100028">
        <w:rPr>
          <w:rFonts w:asciiTheme="majorBidi" w:hAnsiTheme="majorBidi" w:cstheme="majorBidi"/>
          <w:sz w:val="24"/>
          <w:szCs w:val="24"/>
          <w:lang w:val="en-GB"/>
        </w:rPr>
        <w:t xml:space="preserve"> when</w:t>
      </w:r>
      <w:r w:rsidR="006E0769" w:rsidRPr="00100028">
        <w:rPr>
          <w:rFonts w:asciiTheme="majorBidi" w:hAnsiTheme="majorBidi" w:cstheme="majorBidi"/>
          <w:sz w:val="24"/>
          <w:szCs w:val="24"/>
          <w:lang w:val="en-GB"/>
        </w:rPr>
        <w:t xml:space="preserve"> it</w:t>
      </w:r>
      <w:r w:rsidRPr="00100028">
        <w:rPr>
          <w:rFonts w:asciiTheme="majorBidi" w:hAnsiTheme="majorBidi" w:cstheme="majorBidi"/>
          <w:sz w:val="24"/>
          <w:szCs w:val="24"/>
          <w:lang w:val="en-GB"/>
        </w:rPr>
        <w:t xml:space="preserve"> was occupi</w:t>
      </w:r>
      <w:r w:rsidR="006E0769" w:rsidRPr="00100028">
        <w:rPr>
          <w:rFonts w:asciiTheme="majorBidi" w:hAnsiTheme="majorBidi" w:cstheme="majorBidi"/>
          <w:sz w:val="24"/>
          <w:szCs w:val="24"/>
          <w:lang w:val="en-GB"/>
        </w:rPr>
        <w:t>ed by Israel the following day.</w:t>
      </w:r>
    </w:p>
    <w:p w:rsidR="00A52788" w:rsidRPr="00100028" w:rsidRDefault="00A52788" w:rsidP="00100028">
      <w:pPr>
        <w:bidi w:val="0"/>
        <w:jc w:val="both"/>
        <w:rPr>
          <w:rFonts w:asciiTheme="majorBidi" w:hAnsiTheme="majorBidi" w:cstheme="majorBidi"/>
          <w:sz w:val="24"/>
          <w:szCs w:val="24"/>
          <w:lang w:val="en-GB"/>
        </w:rPr>
      </w:pPr>
    </w:p>
    <w:p w:rsidR="006E0769"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Gradually</w:t>
      </w:r>
      <w:r w:rsidR="003959CE" w:rsidRPr="00100028">
        <w:rPr>
          <w:rFonts w:asciiTheme="majorBidi" w:hAnsiTheme="majorBidi" w:cstheme="majorBidi"/>
          <w:sz w:val="24"/>
          <w:szCs w:val="24"/>
          <w:lang w:val="en-GB"/>
        </w:rPr>
        <w:t xml:space="preserve"> during its rule in the West Bank</w:t>
      </w:r>
      <w:r w:rsidR="00A43F14" w:rsidRPr="00100028">
        <w:rPr>
          <w:rFonts w:asciiTheme="majorBidi" w:hAnsiTheme="majorBidi" w:cstheme="majorBidi"/>
          <w:sz w:val="24"/>
          <w:szCs w:val="24"/>
          <w:lang w:val="en-GB"/>
        </w:rPr>
        <w:t xml:space="preserve"> Jordan granted its citizenship</w:t>
      </w:r>
      <w:r w:rsidRPr="00100028">
        <w:rPr>
          <w:rFonts w:asciiTheme="majorBidi" w:hAnsiTheme="majorBidi" w:cstheme="majorBidi"/>
          <w:sz w:val="24"/>
          <w:szCs w:val="24"/>
          <w:lang w:val="en-GB"/>
        </w:rPr>
        <w:t xml:space="preserve"> to the inhabitants of </w:t>
      </w:r>
      <w:r w:rsidR="006E0769" w:rsidRPr="00100028">
        <w:rPr>
          <w:rFonts w:asciiTheme="majorBidi" w:hAnsiTheme="majorBidi" w:cstheme="majorBidi"/>
          <w:sz w:val="24"/>
          <w:szCs w:val="24"/>
          <w:lang w:val="en-GB"/>
        </w:rPr>
        <w:t>the West Bank, along with</w:t>
      </w:r>
      <w:r w:rsidRPr="00100028">
        <w:rPr>
          <w:rFonts w:asciiTheme="majorBidi" w:hAnsiTheme="majorBidi" w:cstheme="majorBidi"/>
          <w:sz w:val="24"/>
          <w:szCs w:val="24"/>
          <w:lang w:val="en-GB"/>
        </w:rPr>
        <w:t xml:space="preserve"> refugees who ended up on the</w:t>
      </w:r>
      <w:r w:rsidR="006E0769" w:rsidRPr="00100028">
        <w:rPr>
          <w:rFonts w:asciiTheme="majorBidi" w:hAnsiTheme="majorBidi" w:cstheme="majorBidi"/>
          <w:sz w:val="24"/>
          <w:szCs w:val="24"/>
          <w:lang w:val="en-GB"/>
        </w:rPr>
        <w:t xml:space="preserve"> west or east b</w:t>
      </w:r>
      <w:r w:rsidRPr="00100028">
        <w:rPr>
          <w:rFonts w:asciiTheme="majorBidi" w:hAnsiTheme="majorBidi" w:cstheme="majorBidi"/>
          <w:sz w:val="24"/>
          <w:szCs w:val="24"/>
          <w:lang w:val="en-GB"/>
        </w:rPr>
        <w:t>anks of the Jordan River and who were prevented by Israel from ret</w:t>
      </w:r>
      <w:r w:rsidR="006E0769" w:rsidRPr="00100028">
        <w:rPr>
          <w:rFonts w:asciiTheme="majorBidi" w:hAnsiTheme="majorBidi" w:cstheme="majorBidi"/>
          <w:sz w:val="24"/>
          <w:szCs w:val="24"/>
          <w:lang w:val="en-GB"/>
        </w:rPr>
        <w:t>urning to their homes within Israel</w:t>
      </w:r>
      <w:r w:rsidR="00F130C3" w:rsidRPr="00100028">
        <w:rPr>
          <w:rFonts w:asciiTheme="majorBidi" w:hAnsiTheme="majorBidi" w:cstheme="majorBidi"/>
          <w:sz w:val="24"/>
          <w:szCs w:val="24"/>
          <w:lang w:val="en-GB"/>
        </w:rPr>
        <w:t>’</w:t>
      </w:r>
      <w:r w:rsidR="006E0769" w:rsidRPr="00100028">
        <w:rPr>
          <w:rFonts w:asciiTheme="majorBidi" w:hAnsiTheme="majorBidi" w:cstheme="majorBidi"/>
          <w:sz w:val="24"/>
          <w:szCs w:val="24"/>
          <w:lang w:val="en-GB"/>
        </w:rPr>
        <w:t>s</w:t>
      </w:r>
      <w:r w:rsidRPr="00100028">
        <w:rPr>
          <w:rFonts w:asciiTheme="majorBidi" w:hAnsiTheme="majorBidi" w:cstheme="majorBidi"/>
          <w:sz w:val="24"/>
          <w:szCs w:val="24"/>
          <w:lang w:val="en-GB"/>
        </w:rPr>
        <w:t xml:space="preserve"> territory. On 13 January 1949, by Law No. 56, Jor</w:t>
      </w:r>
      <w:r w:rsidR="00A43F14" w:rsidRPr="00100028">
        <w:rPr>
          <w:rFonts w:asciiTheme="majorBidi" w:hAnsiTheme="majorBidi" w:cstheme="majorBidi"/>
          <w:sz w:val="24"/>
          <w:szCs w:val="24"/>
          <w:lang w:val="en-GB"/>
        </w:rPr>
        <w:t>dan amended its 1928 citizenship</w:t>
      </w:r>
      <w:r w:rsidRPr="00100028">
        <w:rPr>
          <w:rFonts w:asciiTheme="majorBidi" w:hAnsiTheme="majorBidi" w:cstheme="majorBidi"/>
          <w:sz w:val="24"/>
          <w:szCs w:val="24"/>
          <w:lang w:val="en-GB"/>
        </w:rPr>
        <w:t xml:space="preserve"> law.</w:t>
      </w:r>
      <w:r w:rsidR="006916CE" w:rsidRPr="00100028">
        <w:rPr>
          <w:rStyle w:val="FootnoteReference"/>
          <w:rFonts w:asciiTheme="majorBidi" w:hAnsiTheme="majorBidi" w:cstheme="majorBidi"/>
          <w:sz w:val="24"/>
          <w:szCs w:val="24"/>
          <w:lang w:val="en-GB"/>
        </w:rPr>
        <w:footnoteReference w:id="31"/>
      </w:r>
      <w:r w:rsidRPr="00100028">
        <w:rPr>
          <w:rFonts w:asciiTheme="majorBidi" w:hAnsiTheme="majorBidi" w:cstheme="majorBidi"/>
          <w:sz w:val="24"/>
          <w:szCs w:val="24"/>
          <w:lang w:val="en-GB"/>
        </w:rPr>
        <w:t xml:space="preserve"> </w:t>
      </w:r>
      <w:r w:rsidR="006E0769" w:rsidRPr="00100028">
        <w:rPr>
          <w:rFonts w:asciiTheme="majorBidi" w:hAnsiTheme="majorBidi" w:cstheme="majorBidi"/>
          <w:sz w:val="24"/>
          <w:szCs w:val="24"/>
          <w:lang w:val="en-GB"/>
        </w:rPr>
        <w:t>Article 2 of t</w:t>
      </w:r>
      <w:r w:rsidRPr="00100028">
        <w:rPr>
          <w:rFonts w:asciiTheme="majorBidi" w:hAnsiTheme="majorBidi" w:cstheme="majorBidi"/>
          <w:sz w:val="24"/>
          <w:szCs w:val="24"/>
          <w:lang w:val="en-GB"/>
        </w:rPr>
        <w:t>his amendment provided that</w:t>
      </w:r>
    </w:p>
    <w:p w:rsidR="006E0769" w:rsidRPr="00100028" w:rsidRDefault="006E0769" w:rsidP="00100028">
      <w:pPr>
        <w:bidi w:val="0"/>
        <w:jc w:val="both"/>
        <w:rPr>
          <w:rFonts w:asciiTheme="majorBidi" w:hAnsiTheme="majorBidi" w:cstheme="majorBidi"/>
          <w:sz w:val="24"/>
          <w:szCs w:val="24"/>
          <w:lang w:val="en-GB"/>
        </w:rPr>
      </w:pPr>
    </w:p>
    <w:p w:rsidR="006E0769" w:rsidRPr="00100028" w:rsidRDefault="00A52788" w:rsidP="00100028">
      <w:pPr>
        <w:bidi w:val="0"/>
        <w:ind w:left="72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all persons habitually residing in Trans-Jordan or in the western area that is currently being administrated by the Hashemite Kingdom of Jordan who hold Palestinian </w:t>
      </w:r>
      <w:r w:rsidR="003B4898" w:rsidRPr="00100028">
        <w:rPr>
          <w:rFonts w:asciiTheme="majorBidi" w:hAnsiTheme="majorBidi" w:cstheme="majorBidi"/>
          <w:sz w:val="24"/>
          <w:szCs w:val="24"/>
          <w:lang w:val="en-GB"/>
        </w:rPr>
        <w:t>citizenship</w:t>
      </w:r>
      <w:r w:rsidRPr="00100028">
        <w:rPr>
          <w:rFonts w:asciiTheme="majorBidi" w:hAnsiTheme="majorBidi" w:cstheme="majorBidi"/>
          <w:sz w:val="24"/>
          <w:szCs w:val="24"/>
          <w:lang w:val="en-GB"/>
        </w:rPr>
        <w:t xml:space="preserve"> shall acquire Jordanian </w:t>
      </w:r>
      <w:r w:rsidR="003B4898" w:rsidRPr="00100028">
        <w:rPr>
          <w:rFonts w:asciiTheme="majorBidi" w:hAnsiTheme="majorBidi" w:cstheme="majorBidi"/>
          <w:sz w:val="24"/>
          <w:szCs w:val="24"/>
          <w:lang w:val="en-GB"/>
        </w:rPr>
        <w:t>citizenship</w:t>
      </w:r>
      <w:r w:rsidRPr="00100028">
        <w:rPr>
          <w:rFonts w:asciiTheme="majorBidi" w:hAnsiTheme="majorBidi" w:cstheme="majorBidi"/>
          <w:sz w:val="24"/>
          <w:szCs w:val="24"/>
          <w:lang w:val="en-GB"/>
        </w:rPr>
        <w:t>, and enjoy all citizen</w:t>
      </w:r>
      <w:r w:rsidR="00F130C3"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s rights and responsibilities on the same footing as Jordanians</w:t>
      </w:r>
      <w:r w:rsidR="006E0769" w:rsidRPr="00100028">
        <w:rPr>
          <w:rFonts w:asciiTheme="majorBidi" w:hAnsiTheme="majorBidi" w:cstheme="majorBidi"/>
          <w:sz w:val="24"/>
          <w:szCs w:val="24"/>
          <w:lang w:val="en-GB"/>
        </w:rPr>
        <w:t>.</w:t>
      </w:r>
    </w:p>
    <w:p w:rsidR="006E0769" w:rsidRPr="00100028" w:rsidRDefault="006E0769" w:rsidP="00100028">
      <w:pPr>
        <w:bidi w:val="0"/>
        <w:jc w:val="both"/>
        <w:rPr>
          <w:rFonts w:asciiTheme="majorBidi" w:hAnsiTheme="majorBidi" w:cstheme="majorBidi"/>
          <w:sz w:val="24"/>
          <w:szCs w:val="24"/>
          <w:lang w:val="en-GB"/>
        </w:rPr>
      </w:pPr>
    </w:p>
    <w:p w:rsidR="009F0BCE"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On 7 February 1949, Jordan enacted a law on passports.</w:t>
      </w:r>
      <w:r w:rsidR="006916CE" w:rsidRPr="00100028">
        <w:rPr>
          <w:rStyle w:val="FootnoteReference"/>
          <w:rFonts w:asciiTheme="majorBidi" w:hAnsiTheme="majorBidi" w:cstheme="majorBidi"/>
          <w:sz w:val="24"/>
          <w:szCs w:val="24"/>
          <w:lang w:val="en-GB"/>
        </w:rPr>
        <w:footnoteReference w:id="32"/>
      </w:r>
      <w:r w:rsidRPr="00100028">
        <w:rPr>
          <w:rFonts w:asciiTheme="majorBidi" w:hAnsiTheme="majorBidi" w:cstheme="majorBidi"/>
          <w:sz w:val="24"/>
          <w:szCs w:val="24"/>
          <w:lang w:val="en-GB"/>
        </w:rPr>
        <w:t xml:space="preserve"> Article 2 of this law gave any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 xml:space="preserve">Arab person holding Palestinian </w:t>
      </w:r>
      <w:r w:rsidR="003B4898" w:rsidRPr="00100028">
        <w:rPr>
          <w:rFonts w:asciiTheme="majorBidi" w:hAnsiTheme="majorBidi" w:cstheme="majorBidi"/>
          <w:sz w:val="24"/>
          <w:szCs w:val="24"/>
          <w:lang w:val="en-GB"/>
        </w:rPr>
        <w:t>citizenship</w:t>
      </w:r>
      <w:r w:rsidR="009C63C1"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 xml:space="preserve"> the right to obtain a Jordanian passport. Jordan confirmed the granting of its </w:t>
      </w:r>
      <w:r w:rsidR="003B4898" w:rsidRPr="00100028">
        <w:rPr>
          <w:rFonts w:asciiTheme="majorBidi" w:hAnsiTheme="majorBidi" w:cstheme="majorBidi"/>
          <w:sz w:val="24"/>
          <w:szCs w:val="24"/>
          <w:lang w:val="en-GB"/>
        </w:rPr>
        <w:t>citizenship</w:t>
      </w:r>
      <w:r w:rsidRPr="00100028">
        <w:rPr>
          <w:rFonts w:asciiTheme="majorBidi" w:hAnsiTheme="majorBidi" w:cstheme="majorBidi"/>
          <w:sz w:val="24"/>
          <w:szCs w:val="24"/>
          <w:lang w:val="en-GB"/>
        </w:rPr>
        <w:t xml:space="preserve"> to all</w:t>
      </w:r>
      <w:r w:rsidR="006E0769" w:rsidRPr="00100028">
        <w:rPr>
          <w:rFonts w:asciiTheme="majorBidi" w:hAnsiTheme="majorBidi" w:cstheme="majorBidi"/>
          <w:sz w:val="24"/>
          <w:szCs w:val="24"/>
          <w:lang w:val="en-GB"/>
        </w:rPr>
        <w:t xml:space="preserve"> West Bankers by the </w:t>
      </w:r>
      <w:r w:rsidR="00BC3D11" w:rsidRPr="00100028">
        <w:rPr>
          <w:rFonts w:asciiTheme="majorBidi" w:hAnsiTheme="majorBidi" w:cstheme="majorBidi"/>
          <w:sz w:val="24"/>
          <w:szCs w:val="24"/>
          <w:lang w:val="en-GB"/>
        </w:rPr>
        <w:t>Nationality</w:t>
      </w:r>
      <w:r w:rsidRPr="00100028">
        <w:rPr>
          <w:rFonts w:asciiTheme="majorBidi" w:hAnsiTheme="majorBidi" w:cstheme="majorBidi"/>
          <w:sz w:val="24"/>
          <w:szCs w:val="24"/>
          <w:lang w:val="en-GB"/>
        </w:rPr>
        <w:t xml:space="preserve"> Law </w:t>
      </w:r>
      <w:r w:rsidR="00BC3D11" w:rsidRPr="00100028">
        <w:rPr>
          <w:rFonts w:asciiTheme="majorBidi" w:hAnsiTheme="majorBidi" w:cstheme="majorBidi"/>
          <w:sz w:val="24"/>
          <w:szCs w:val="24"/>
          <w:lang w:val="en-GB"/>
        </w:rPr>
        <w:t xml:space="preserve">No. 6 </w:t>
      </w:r>
      <w:r w:rsidRPr="00100028">
        <w:rPr>
          <w:rFonts w:asciiTheme="majorBidi" w:hAnsiTheme="majorBidi" w:cstheme="majorBidi"/>
          <w:sz w:val="24"/>
          <w:szCs w:val="24"/>
          <w:lang w:val="en-GB"/>
        </w:rPr>
        <w:t>of 2 February 1954.</w:t>
      </w:r>
      <w:r w:rsidR="006916CE" w:rsidRPr="00100028">
        <w:rPr>
          <w:rStyle w:val="FootnoteReference"/>
          <w:rFonts w:asciiTheme="majorBidi" w:hAnsiTheme="majorBidi" w:cstheme="majorBidi"/>
          <w:sz w:val="24"/>
          <w:szCs w:val="24"/>
          <w:lang w:val="en-GB"/>
        </w:rPr>
        <w:footnoteReference w:id="33"/>
      </w:r>
      <w:r w:rsidRPr="00100028">
        <w:rPr>
          <w:rFonts w:asciiTheme="majorBidi" w:hAnsiTheme="majorBidi" w:cstheme="majorBidi"/>
          <w:sz w:val="24"/>
          <w:szCs w:val="24"/>
          <w:lang w:val="en-GB"/>
        </w:rPr>
        <w:t xml:space="preserve"> Article 3 of this law </w:t>
      </w:r>
      <w:r w:rsidR="006E0769" w:rsidRPr="00100028">
        <w:rPr>
          <w:rFonts w:asciiTheme="majorBidi" w:hAnsiTheme="majorBidi" w:cstheme="majorBidi"/>
          <w:sz w:val="24"/>
          <w:szCs w:val="24"/>
          <w:lang w:val="en-GB"/>
        </w:rPr>
        <w:t>s</w:t>
      </w:r>
      <w:r w:rsidR="00FE2B16" w:rsidRPr="00100028">
        <w:rPr>
          <w:rFonts w:asciiTheme="majorBidi" w:hAnsiTheme="majorBidi" w:cstheme="majorBidi"/>
          <w:sz w:val="24"/>
          <w:szCs w:val="24"/>
          <w:lang w:val="en-GB"/>
        </w:rPr>
        <w:t>tate</w:t>
      </w:r>
      <w:r w:rsidRPr="00100028">
        <w:rPr>
          <w:rFonts w:asciiTheme="majorBidi" w:hAnsiTheme="majorBidi" w:cstheme="majorBidi"/>
          <w:sz w:val="24"/>
          <w:szCs w:val="24"/>
          <w:lang w:val="en-GB"/>
        </w:rPr>
        <w:t>d</w:t>
      </w:r>
      <w:r w:rsidR="009F0BCE" w:rsidRPr="00100028">
        <w:rPr>
          <w:rFonts w:asciiTheme="majorBidi" w:hAnsiTheme="majorBidi" w:cstheme="majorBidi"/>
          <w:sz w:val="24"/>
          <w:szCs w:val="24"/>
          <w:lang w:val="en-GB"/>
        </w:rPr>
        <w:t xml:space="preserve"> that</w:t>
      </w:r>
    </w:p>
    <w:p w:rsidR="009F0BCE" w:rsidRPr="00100028" w:rsidRDefault="009F0BCE" w:rsidP="00100028">
      <w:pPr>
        <w:bidi w:val="0"/>
        <w:jc w:val="both"/>
        <w:rPr>
          <w:rFonts w:asciiTheme="majorBidi" w:hAnsiTheme="majorBidi" w:cstheme="majorBidi"/>
          <w:sz w:val="24"/>
          <w:szCs w:val="24"/>
          <w:lang w:val="en-GB"/>
        </w:rPr>
      </w:pPr>
    </w:p>
    <w:p w:rsidR="009F0BCE" w:rsidRPr="00100028" w:rsidRDefault="00A52788" w:rsidP="00100028">
      <w:pPr>
        <w:bidi w:val="0"/>
        <w:ind w:left="72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the following persons shall be considered Jordanian citizens: [...] (2) Those who acquired Jordanian </w:t>
      </w:r>
      <w:r w:rsidR="003B4898" w:rsidRPr="00100028">
        <w:rPr>
          <w:rFonts w:asciiTheme="majorBidi" w:hAnsiTheme="majorBidi" w:cstheme="majorBidi"/>
          <w:sz w:val="24"/>
          <w:szCs w:val="24"/>
          <w:lang w:val="en-GB"/>
        </w:rPr>
        <w:t>citizenship</w:t>
      </w:r>
      <w:r w:rsidRPr="00100028">
        <w:rPr>
          <w:rFonts w:asciiTheme="majorBidi" w:hAnsiTheme="majorBidi" w:cstheme="majorBidi"/>
          <w:sz w:val="24"/>
          <w:szCs w:val="24"/>
          <w:lang w:val="en-GB"/>
        </w:rPr>
        <w:t xml:space="preserve"> in accordance with Law No. 56 of 1949; and (3) All non-Jewish persons who were holding Palestinian </w:t>
      </w:r>
      <w:r w:rsidR="003B4898" w:rsidRPr="00100028">
        <w:rPr>
          <w:rFonts w:asciiTheme="majorBidi" w:hAnsiTheme="majorBidi" w:cstheme="majorBidi"/>
          <w:sz w:val="24"/>
          <w:szCs w:val="24"/>
          <w:lang w:val="en-GB"/>
        </w:rPr>
        <w:t>citizenship</w:t>
      </w:r>
      <w:r w:rsidRPr="00100028">
        <w:rPr>
          <w:rFonts w:asciiTheme="majorBidi" w:hAnsiTheme="majorBidi" w:cstheme="majorBidi"/>
          <w:sz w:val="24"/>
          <w:szCs w:val="24"/>
          <w:lang w:val="en-GB"/>
        </w:rPr>
        <w:t xml:space="preserve"> prior to 15 May 1948 and who reside at the date of the enactment of this law in the Has</w:t>
      </w:r>
      <w:r w:rsidR="006E0769" w:rsidRPr="00100028">
        <w:rPr>
          <w:rFonts w:asciiTheme="majorBidi" w:hAnsiTheme="majorBidi" w:cstheme="majorBidi"/>
          <w:sz w:val="24"/>
          <w:szCs w:val="24"/>
          <w:lang w:val="en-GB"/>
        </w:rPr>
        <w:t>hemite Kingdom of Jordan [including</w:t>
      </w:r>
      <w:r w:rsidR="00BC3D11" w:rsidRPr="00100028">
        <w:rPr>
          <w:rFonts w:asciiTheme="majorBidi" w:hAnsiTheme="majorBidi" w:cstheme="majorBidi"/>
          <w:sz w:val="24"/>
          <w:szCs w:val="24"/>
          <w:lang w:val="en-GB"/>
        </w:rPr>
        <w:t xml:space="preserve"> the West Bank</w:t>
      </w:r>
      <w:r w:rsidRPr="00100028">
        <w:rPr>
          <w:rFonts w:asciiTheme="majorBidi" w:hAnsiTheme="majorBidi" w:cstheme="majorBidi"/>
          <w:sz w:val="24"/>
          <w:szCs w:val="24"/>
          <w:lang w:val="en-GB"/>
        </w:rPr>
        <w:t>]</w:t>
      </w:r>
      <w:r w:rsidR="009F0BCE" w:rsidRPr="00100028">
        <w:rPr>
          <w:rFonts w:asciiTheme="majorBidi" w:hAnsiTheme="majorBidi" w:cstheme="majorBidi"/>
          <w:sz w:val="24"/>
          <w:szCs w:val="24"/>
          <w:lang w:val="en-GB"/>
        </w:rPr>
        <w:t>.</w:t>
      </w:r>
    </w:p>
    <w:p w:rsidR="009F0BCE" w:rsidRPr="00100028" w:rsidRDefault="009F0BCE"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Palestinians of the West Bank, via this process, were considered to be Jordanians</w:t>
      </w:r>
      <w:r w:rsidR="00BC3D11" w:rsidRPr="00100028">
        <w:rPr>
          <w:rFonts w:asciiTheme="majorBidi" w:hAnsiTheme="majorBidi" w:cstheme="majorBidi"/>
          <w:sz w:val="24"/>
          <w:szCs w:val="24"/>
          <w:lang w:val="en-GB"/>
        </w:rPr>
        <w:t xml:space="preserve"> at the domestic level of the Kingdom</w:t>
      </w:r>
      <w:r w:rsidRPr="00100028">
        <w:rPr>
          <w:rFonts w:asciiTheme="majorBidi" w:hAnsiTheme="majorBidi" w:cstheme="majorBidi"/>
          <w:sz w:val="24"/>
          <w:szCs w:val="24"/>
          <w:lang w:val="en-GB"/>
        </w:rPr>
        <w:t>. They could as such participate in legislative elections, be elected to parliament, hold public office, become ministers, bear passports, and be provided with diplomatic p</w:t>
      </w:r>
      <w:r w:rsidR="007A5C70" w:rsidRPr="00100028">
        <w:rPr>
          <w:rFonts w:asciiTheme="majorBidi" w:hAnsiTheme="majorBidi" w:cstheme="majorBidi"/>
          <w:sz w:val="24"/>
          <w:szCs w:val="24"/>
          <w:lang w:val="en-GB"/>
        </w:rPr>
        <w:t>rotection by Jordanian authorities</w:t>
      </w:r>
      <w:r w:rsidRPr="00100028">
        <w:rPr>
          <w:rFonts w:asciiTheme="majorBidi" w:hAnsiTheme="majorBidi" w:cstheme="majorBidi"/>
          <w:sz w:val="24"/>
          <w:szCs w:val="24"/>
          <w:lang w:val="en-GB"/>
        </w:rPr>
        <w:t xml:space="preserve"> abroad. The West Bankers have consequently become fully-fledged Jordanian citizens.</w:t>
      </w: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 </w:t>
      </w:r>
    </w:p>
    <w:p w:rsidR="00AE6425"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lastRenderedPageBreak/>
        <w:t xml:space="preserve">This situation continued until </w:t>
      </w:r>
      <w:r w:rsidR="006916CE" w:rsidRPr="00100028">
        <w:rPr>
          <w:rFonts w:asciiTheme="majorBidi" w:hAnsiTheme="majorBidi" w:cstheme="majorBidi"/>
          <w:sz w:val="24"/>
          <w:szCs w:val="24"/>
          <w:lang w:val="en-GB"/>
        </w:rPr>
        <w:t xml:space="preserve">4 </w:t>
      </w:r>
      <w:r w:rsidRPr="00100028">
        <w:rPr>
          <w:rFonts w:asciiTheme="majorBidi" w:hAnsiTheme="majorBidi" w:cstheme="majorBidi"/>
          <w:sz w:val="24"/>
          <w:szCs w:val="24"/>
          <w:lang w:val="en-GB"/>
        </w:rPr>
        <w:t>June 1967. From the beginning of the occupation until</w:t>
      </w:r>
      <w:r w:rsidR="002A0B94" w:rsidRPr="00100028">
        <w:rPr>
          <w:rFonts w:asciiTheme="majorBidi" w:hAnsiTheme="majorBidi" w:cstheme="majorBidi"/>
          <w:sz w:val="24"/>
          <w:szCs w:val="24"/>
          <w:lang w:val="en-GB"/>
        </w:rPr>
        <w:t xml:space="preserve"> 1994, Israel closed the border</w:t>
      </w:r>
      <w:r w:rsidRPr="00100028">
        <w:rPr>
          <w:rFonts w:asciiTheme="majorBidi" w:hAnsiTheme="majorBidi" w:cstheme="majorBidi"/>
          <w:sz w:val="24"/>
          <w:szCs w:val="24"/>
          <w:lang w:val="en-GB"/>
        </w:rPr>
        <w:t xml:space="preserve"> with Jordan and controlled the whole of the West Bank. No one could leave, or land in, the West Bank without Israeli permission.</w:t>
      </w:r>
      <w:r w:rsidR="00CF5B75" w:rsidRPr="00100028">
        <w:rPr>
          <w:rStyle w:val="FootnoteReference"/>
          <w:rFonts w:asciiTheme="majorBidi" w:hAnsiTheme="majorBidi" w:cstheme="majorBidi"/>
          <w:sz w:val="24"/>
          <w:szCs w:val="24"/>
          <w:lang w:val="en-GB"/>
        </w:rPr>
        <w:footnoteReference w:id="34"/>
      </w:r>
      <w:r w:rsidRPr="00100028">
        <w:rPr>
          <w:rFonts w:asciiTheme="majorBidi" w:hAnsiTheme="majorBidi" w:cstheme="majorBidi"/>
          <w:sz w:val="24"/>
          <w:szCs w:val="24"/>
          <w:lang w:val="en-GB"/>
        </w:rPr>
        <w:t xml:space="preserve"> The inhabitants were considered by Israel at this time as permanent residents of the West Bank, no</w:t>
      </w:r>
      <w:r w:rsidR="007A5C70" w:rsidRPr="00100028">
        <w:rPr>
          <w:rFonts w:asciiTheme="majorBidi" w:hAnsiTheme="majorBidi" w:cstheme="majorBidi"/>
          <w:sz w:val="24"/>
          <w:szCs w:val="24"/>
          <w:lang w:val="en-GB"/>
        </w:rPr>
        <w:t>t</w:t>
      </w:r>
      <w:r w:rsidR="001731B2" w:rsidRPr="00100028">
        <w:rPr>
          <w:rFonts w:asciiTheme="majorBidi" w:hAnsiTheme="majorBidi" w:cstheme="majorBidi"/>
          <w:sz w:val="24"/>
          <w:szCs w:val="24"/>
          <w:lang w:val="en-GB"/>
        </w:rPr>
        <w:t xml:space="preserve"> residents of Israel as</w:t>
      </w:r>
      <w:r w:rsidRPr="00100028">
        <w:rPr>
          <w:rFonts w:asciiTheme="majorBidi" w:hAnsiTheme="majorBidi" w:cstheme="majorBidi"/>
          <w:sz w:val="24"/>
          <w:szCs w:val="24"/>
          <w:lang w:val="en-GB"/>
        </w:rPr>
        <w:t xml:space="preserve"> the area had </w:t>
      </w:r>
      <w:r w:rsidR="00A43F14" w:rsidRPr="00100028">
        <w:rPr>
          <w:rFonts w:asciiTheme="majorBidi" w:hAnsiTheme="majorBidi" w:cstheme="majorBidi"/>
          <w:sz w:val="24"/>
          <w:szCs w:val="24"/>
          <w:lang w:val="en-GB"/>
        </w:rPr>
        <w:t>not been annexed by Israel</w:t>
      </w:r>
      <w:r w:rsidRPr="00100028">
        <w:rPr>
          <w:rFonts w:asciiTheme="majorBidi" w:hAnsiTheme="majorBidi" w:cstheme="majorBidi"/>
          <w:sz w:val="24"/>
          <w:szCs w:val="24"/>
          <w:lang w:val="en-GB"/>
        </w:rPr>
        <w:t xml:space="preserve">. The </w:t>
      </w:r>
      <w:r w:rsidR="00A43F14" w:rsidRPr="00100028">
        <w:rPr>
          <w:rFonts w:asciiTheme="majorBidi" w:hAnsiTheme="majorBidi" w:cstheme="majorBidi"/>
          <w:sz w:val="24"/>
          <w:szCs w:val="24"/>
          <w:lang w:val="en-GB"/>
        </w:rPr>
        <w:t>status of West Bankers then beca</w:t>
      </w:r>
      <w:r w:rsidR="00CF5B75" w:rsidRPr="00100028">
        <w:rPr>
          <w:rFonts w:asciiTheme="majorBidi" w:hAnsiTheme="majorBidi" w:cstheme="majorBidi"/>
          <w:sz w:val="24"/>
          <w:szCs w:val="24"/>
          <w:lang w:val="en-GB"/>
        </w:rPr>
        <w:t>me similar to that of citizens</w:t>
      </w:r>
      <w:r w:rsidRPr="00100028">
        <w:rPr>
          <w:rFonts w:asciiTheme="majorBidi" w:hAnsiTheme="majorBidi" w:cstheme="majorBidi"/>
          <w:sz w:val="24"/>
          <w:szCs w:val="24"/>
          <w:lang w:val="en-GB"/>
        </w:rPr>
        <w:t xml:space="preserve"> in terms of citizens</w:t>
      </w:r>
      <w:r w:rsidR="00F130C3"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 xml:space="preserve"> rights, albeit under occupation, according to the applicable law in the area. Israel issued orange-coloured identity cards to the West Bankers as an indication of residency.</w:t>
      </w:r>
      <w:r w:rsidR="00AE6425" w:rsidRPr="00100028">
        <w:rPr>
          <w:rStyle w:val="FootnoteReference"/>
          <w:rFonts w:asciiTheme="majorBidi" w:hAnsiTheme="majorBidi" w:cstheme="majorBidi"/>
          <w:sz w:val="24"/>
          <w:szCs w:val="24"/>
          <w:lang w:val="en-GB"/>
        </w:rPr>
        <w:footnoteReference w:id="35"/>
      </w:r>
      <w:r w:rsidRPr="00100028">
        <w:rPr>
          <w:rFonts w:asciiTheme="majorBidi" w:hAnsiTheme="majorBidi" w:cstheme="majorBidi"/>
          <w:sz w:val="24"/>
          <w:szCs w:val="24"/>
          <w:lang w:val="en-GB"/>
        </w:rPr>
        <w:t xml:space="preserve"> As a result, a sort of de facto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 xml:space="preserve">West Bank </w:t>
      </w:r>
      <w:r w:rsidR="003B4898" w:rsidRPr="00100028">
        <w:rPr>
          <w:rFonts w:asciiTheme="majorBidi" w:hAnsiTheme="majorBidi" w:cstheme="majorBidi"/>
          <w:sz w:val="24"/>
          <w:szCs w:val="24"/>
          <w:lang w:val="en-GB"/>
        </w:rPr>
        <w:t>citizenship</w:t>
      </w:r>
      <w:r w:rsidR="009F0BCE"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 xml:space="preserve"> was invented.</w:t>
      </w:r>
    </w:p>
    <w:p w:rsidR="00AE6425" w:rsidRPr="00100028" w:rsidRDefault="00AE6425"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Inhabitants </w:t>
      </w:r>
      <w:r w:rsidR="00DF1774" w:rsidRPr="00100028">
        <w:rPr>
          <w:rFonts w:asciiTheme="majorBidi" w:hAnsiTheme="majorBidi" w:cstheme="majorBidi"/>
          <w:sz w:val="24"/>
          <w:szCs w:val="24"/>
          <w:lang w:val="en-GB"/>
        </w:rPr>
        <w:t xml:space="preserve">at the time </w:t>
      </w:r>
      <w:r w:rsidRPr="00100028">
        <w:rPr>
          <w:rFonts w:asciiTheme="majorBidi" w:hAnsiTheme="majorBidi" w:cstheme="majorBidi"/>
          <w:sz w:val="24"/>
          <w:szCs w:val="24"/>
          <w:lang w:val="en-GB"/>
        </w:rPr>
        <w:t>could travel abroad using Jordanian passports. For a number of years prior to 1994, Israel obliged those travelling abroad to remain outside for at least nine months.</w:t>
      </w:r>
      <w:r w:rsidR="00AE6425" w:rsidRPr="00100028">
        <w:rPr>
          <w:rStyle w:val="FootnoteReference"/>
          <w:rFonts w:asciiTheme="majorBidi" w:hAnsiTheme="majorBidi" w:cstheme="majorBidi"/>
          <w:sz w:val="24"/>
          <w:szCs w:val="24"/>
          <w:lang w:val="en-GB"/>
        </w:rPr>
        <w:footnoteReference w:id="36"/>
      </w:r>
      <w:r w:rsidRPr="00100028">
        <w:rPr>
          <w:rFonts w:asciiTheme="majorBidi" w:hAnsiTheme="majorBidi" w:cstheme="majorBidi"/>
          <w:sz w:val="24"/>
          <w:szCs w:val="24"/>
          <w:lang w:val="en-GB"/>
        </w:rPr>
        <w:t xml:space="preserve"> Thousands of West Bankers who travelled abroad, how</w:t>
      </w:r>
      <w:r w:rsidR="00AE6425" w:rsidRPr="00100028">
        <w:rPr>
          <w:rFonts w:asciiTheme="majorBidi" w:hAnsiTheme="majorBidi" w:cstheme="majorBidi"/>
          <w:sz w:val="24"/>
          <w:szCs w:val="24"/>
          <w:lang w:val="en-GB"/>
        </w:rPr>
        <w:t>ever, were not allowed</w:t>
      </w:r>
      <w:r w:rsidRPr="00100028">
        <w:rPr>
          <w:rFonts w:asciiTheme="majorBidi" w:hAnsiTheme="majorBidi" w:cstheme="majorBidi"/>
          <w:sz w:val="24"/>
          <w:szCs w:val="24"/>
          <w:lang w:val="en-GB"/>
        </w:rPr>
        <w:t xml:space="preserve"> to return</w:t>
      </w:r>
      <w:r w:rsidR="004366FB" w:rsidRPr="00100028">
        <w:rPr>
          <w:rFonts w:asciiTheme="majorBidi" w:hAnsiTheme="majorBidi" w:cstheme="majorBidi"/>
          <w:sz w:val="24"/>
          <w:szCs w:val="24"/>
          <w:lang w:val="en-GB"/>
        </w:rPr>
        <w:t xml:space="preserve"> after exceeding the period of absence specified for them</w:t>
      </w:r>
      <w:r w:rsidRPr="00100028">
        <w:rPr>
          <w:rFonts w:asciiTheme="majorBidi" w:hAnsiTheme="majorBidi" w:cstheme="majorBidi"/>
          <w:sz w:val="24"/>
          <w:szCs w:val="24"/>
          <w:lang w:val="en-GB"/>
        </w:rPr>
        <w:t>. Israel adopt</w:t>
      </w:r>
      <w:r w:rsidR="004366FB" w:rsidRPr="00100028">
        <w:rPr>
          <w:rFonts w:asciiTheme="majorBidi" w:hAnsiTheme="majorBidi" w:cstheme="majorBidi"/>
          <w:sz w:val="24"/>
          <w:szCs w:val="24"/>
          <w:lang w:val="en-GB"/>
        </w:rPr>
        <w:t>ed the system of absentees, namely</w:t>
      </w:r>
      <w:r w:rsidRPr="00100028">
        <w:rPr>
          <w:rFonts w:asciiTheme="majorBidi" w:hAnsiTheme="majorBidi" w:cstheme="majorBidi"/>
          <w:sz w:val="24"/>
          <w:szCs w:val="24"/>
          <w:lang w:val="en-GB"/>
        </w:rPr>
        <w:t xml:space="preserve"> those who left the West Bank and failed to return within three years would </w:t>
      </w:r>
      <w:r w:rsidR="00A43F14" w:rsidRPr="00100028">
        <w:rPr>
          <w:rFonts w:asciiTheme="majorBidi" w:hAnsiTheme="majorBidi" w:cstheme="majorBidi"/>
          <w:sz w:val="24"/>
          <w:szCs w:val="24"/>
          <w:lang w:val="en-GB"/>
        </w:rPr>
        <w:t xml:space="preserve">not be allowed to </w:t>
      </w:r>
      <w:r w:rsidRPr="00100028">
        <w:rPr>
          <w:rFonts w:asciiTheme="majorBidi" w:hAnsiTheme="majorBidi" w:cstheme="majorBidi"/>
          <w:sz w:val="24"/>
          <w:szCs w:val="24"/>
          <w:lang w:val="en-GB"/>
        </w:rPr>
        <w:t>return.</w:t>
      </w:r>
      <w:r w:rsidR="00AE6425" w:rsidRPr="00100028">
        <w:rPr>
          <w:rStyle w:val="FootnoteReference"/>
          <w:rFonts w:asciiTheme="majorBidi" w:hAnsiTheme="majorBidi" w:cstheme="majorBidi"/>
          <w:sz w:val="24"/>
          <w:szCs w:val="24"/>
          <w:lang w:val="en-GB"/>
        </w:rPr>
        <w:footnoteReference w:id="37"/>
      </w:r>
      <w:r w:rsidR="001731B2" w:rsidRPr="00100028">
        <w:rPr>
          <w:rFonts w:asciiTheme="majorBidi" w:hAnsiTheme="majorBidi" w:cstheme="majorBidi"/>
          <w:sz w:val="24"/>
          <w:szCs w:val="24"/>
          <w:lang w:val="en-GB"/>
        </w:rPr>
        <w:t xml:space="preserve"> Children born to West Bankers abroad would not be eligible for registration as residents, and therefore lose their right of return to the West Bank, if their parents do not register them after</w:t>
      </w:r>
      <w:r w:rsidR="007A5C70" w:rsidRPr="00100028">
        <w:rPr>
          <w:rFonts w:asciiTheme="majorBidi" w:hAnsiTheme="majorBidi" w:cstheme="majorBidi"/>
          <w:sz w:val="24"/>
          <w:szCs w:val="24"/>
          <w:lang w:val="en-GB"/>
        </w:rPr>
        <w:t xml:space="preserve"> reaching 5 years of age</w:t>
      </w:r>
      <w:r w:rsidR="001731B2" w:rsidRPr="00100028">
        <w:rPr>
          <w:rFonts w:asciiTheme="majorBidi" w:hAnsiTheme="majorBidi" w:cstheme="majorBidi"/>
          <w:sz w:val="24"/>
          <w:szCs w:val="24"/>
          <w:lang w:val="en-GB"/>
        </w:rPr>
        <w:t>.</w:t>
      </w:r>
      <w:r w:rsidR="001731B2" w:rsidRPr="00100028">
        <w:rPr>
          <w:rStyle w:val="FootnoteReference"/>
          <w:rFonts w:asciiTheme="majorBidi" w:hAnsiTheme="majorBidi" w:cstheme="majorBidi"/>
          <w:sz w:val="24"/>
          <w:szCs w:val="24"/>
          <w:lang w:val="en-GB"/>
        </w:rPr>
        <w:footnoteReference w:id="38"/>
      </w:r>
      <w:r w:rsidRPr="00100028">
        <w:rPr>
          <w:rFonts w:asciiTheme="majorBidi" w:hAnsiTheme="majorBidi" w:cstheme="majorBidi"/>
          <w:sz w:val="24"/>
          <w:szCs w:val="24"/>
          <w:lang w:val="en-GB"/>
        </w:rPr>
        <w:t xml:space="preserve"> </w:t>
      </w:r>
      <w:r w:rsidR="007D185C" w:rsidRPr="00100028">
        <w:rPr>
          <w:rFonts w:asciiTheme="majorBidi" w:hAnsiTheme="majorBidi" w:cstheme="majorBidi"/>
          <w:sz w:val="24"/>
          <w:szCs w:val="24"/>
          <w:lang w:val="en-GB"/>
        </w:rPr>
        <w:t>Another group of West Bankers, chiefly political activists, were deported.</w:t>
      </w:r>
      <w:r w:rsidR="007D185C" w:rsidRPr="00100028">
        <w:rPr>
          <w:rStyle w:val="FootnoteReference"/>
          <w:rFonts w:asciiTheme="majorBidi" w:hAnsiTheme="majorBidi" w:cstheme="majorBidi"/>
          <w:sz w:val="24"/>
          <w:szCs w:val="24"/>
          <w:lang w:val="en-GB"/>
        </w:rPr>
        <w:footnoteReference w:id="39"/>
      </w:r>
      <w:r w:rsidR="007D185C" w:rsidRPr="00100028">
        <w:rPr>
          <w:rFonts w:asciiTheme="majorBidi" w:hAnsiTheme="majorBidi" w:cstheme="majorBidi"/>
          <w:sz w:val="24"/>
          <w:szCs w:val="24"/>
          <w:lang w:val="en-GB"/>
        </w:rPr>
        <w:t xml:space="preserve"> Such policies</w:t>
      </w:r>
      <w:r w:rsidRPr="00100028">
        <w:rPr>
          <w:rFonts w:asciiTheme="majorBidi" w:hAnsiTheme="majorBidi" w:cstheme="majorBidi"/>
          <w:sz w:val="24"/>
          <w:szCs w:val="24"/>
          <w:lang w:val="en-GB"/>
        </w:rPr>
        <w:t xml:space="preserve"> created a category of West Bankers called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identity card losers</w:t>
      </w:r>
      <w:r w:rsidR="009F0BCE" w:rsidRPr="00100028">
        <w:rPr>
          <w:rFonts w:asciiTheme="majorBidi" w:hAnsiTheme="majorBidi" w:cstheme="majorBidi"/>
          <w:sz w:val="24"/>
          <w:szCs w:val="24"/>
          <w:lang w:val="en-GB"/>
        </w:rPr>
        <w:t>”</w:t>
      </w:r>
      <w:r w:rsidR="007D185C" w:rsidRPr="00100028">
        <w:rPr>
          <w:rFonts w:asciiTheme="majorBidi" w:hAnsiTheme="majorBidi" w:cstheme="majorBidi"/>
          <w:sz w:val="24"/>
          <w:szCs w:val="24"/>
          <w:lang w:val="en-GB"/>
        </w:rPr>
        <w:t>.</w:t>
      </w:r>
      <w:r w:rsidR="00732B01" w:rsidRPr="00100028">
        <w:rPr>
          <w:rStyle w:val="FootnoteReference"/>
          <w:rFonts w:asciiTheme="majorBidi" w:hAnsiTheme="majorBidi" w:cstheme="majorBidi"/>
          <w:sz w:val="24"/>
          <w:szCs w:val="24"/>
          <w:lang w:val="en-GB"/>
        </w:rPr>
        <w:footnoteReference w:id="40"/>
      </w:r>
      <w:r w:rsidR="007D185C" w:rsidRPr="00100028">
        <w:rPr>
          <w:rFonts w:asciiTheme="majorBidi" w:hAnsiTheme="majorBidi" w:cstheme="majorBidi"/>
          <w:sz w:val="24"/>
          <w:szCs w:val="24"/>
          <w:lang w:val="en-GB"/>
        </w:rPr>
        <w:t xml:space="preserve"> These</w:t>
      </w:r>
      <w:r w:rsidRPr="00100028">
        <w:rPr>
          <w:rFonts w:asciiTheme="majorBidi" w:hAnsiTheme="majorBidi" w:cstheme="majorBidi"/>
          <w:sz w:val="24"/>
          <w:szCs w:val="24"/>
          <w:lang w:val="en-GB"/>
        </w:rPr>
        <w:t xml:space="preserve"> virtually became</w:t>
      </w:r>
      <w:r w:rsidR="00A43F14" w:rsidRPr="00100028">
        <w:rPr>
          <w:rFonts w:asciiTheme="majorBidi" w:hAnsiTheme="majorBidi" w:cstheme="majorBidi"/>
          <w:sz w:val="24"/>
          <w:szCs w:val="24"/>
          <w:lang w:val="en-GB"/>
        </w:rPr>
        <w:t xml:space="preserve"> refugees</w:t>
      </w:r>
      <w:r w:rsidRPr="00100028">
        <w:rPr>
          <w:rFonts w:asciiTheme="majorBidi" w:hAnsiTheme="majorBidi" w:cstheme="majorBidi"/>
          <w:sz w:val="24"/>
          <w:szCs w:val="24"/>
          <w:lang w:val="en-GB"/>
        </w:rPr>
        <w:t>.</w:t>
      </w:r>
      <w:r w:rsidR="0095128C" w:rsidRPr="00100028">
        <w:rPr>
          <w:rStyle w:val="FootnoteReference"/>
          <w:rFonts w:asciiTheme="majorBidi" w:hAnsiTheme="majorBidi" w:cstheme="majorBidi"/>
          <w:sz w:val="24"/>
          <w:szCs w:val="24"/>
          <w:lang w:val="en-GB"/>
        </w:rPr>
        <w:footnoteReference w:id="41"/>
      </w:r>
      <w:r w:rsidRPr="00100028">
        <w:rPr>
          <w:rFonts w:asciiTheme="majorBidi" w:hAnsiTheme="majorBidi" w:cstheme="majorBidi"/>
          <w:sz w:val="24"/>
          <w:szCs w:val="24"/>
          <w:lang w:val="en-GB"/>
        </w:rPr>
        <w:t xml:space="preserve"> Israel allowed </w:t>
      </w:r>
      <w:r w:rsidR="0096407E" w:rsidRPr="00100028">
        <w:rPr>
          <w:rFonts w:asciiTheme="majorBidi" w:hAnsiTheme="majorBidi" w:cstheme="majorBidi"/>
          <w:sz w:val="24"/>
          <w:szCs w:val="24"/>
          <w:lang w:val="en-GB"/>
        </w:rPr>
        <w:t xml:space="preserve">only </w:t>
      </w:r>
      <w:r w:rsidRPr="00100028">
        <w:rPr>
          <w:rFonts w:asciiTheme="majorBidi" w:hAnsiTheme="majorBidi" w:cstheme="majorBidi"/>
          <w:sz w:val="24"/>
          <w:szCs w:val="24"/>
          <w:lang w:val="en-GB"/>
        </w:rPr>
        <w:t xml:space="preserve">a limited number of non-West-Bank residents </w:t>
      </w:r>
      <w:r w:rsidR="002675EC" w:rsidRPr="00100028">
        <w:rPr>
          <w:rFonts w:asciiTheme="majorBidi" w:hAnsiTheme="majorBidi" w:cstheme="majorBidi"/>
          <w:sz w:val="24"/>
          <w:szCs w:val="24"/>
          <w:lang w:val="en-GB"/>
        </w:rPr>
        <w:t>(or West Bakers who lost thei</w:t>
      </w:r>
      <w:r w:rsidR="004F3E26" w:rsidRPr="00100028">
        <w:rPr>
          <w:rFonts w:asciiTheme="majorBidi" w:hAnsiTheme="majorBidi" w:cstheme="majorBidi"/>
          <w:sz w:val="24"/>
          <w:szCs w:val="24"/>
          <w:lang w:val="en-GB"/>
        </w:rPr>
        <w:t>r residency</w:t>
      </w:r>
      <w:r w:rsidR="002675EC" w:rsidRPr="00100028">
        <w:rPr>
          <w:rFonts w:asciiTheme="majorBidi" w:hAnsiTheme="majorBidi" w:cstheme="majorBidi"/>
          <w:sz w:val="24"/>
          <w:szCs w:val="24"/>
          <w:lang w:val="en-GB"/>
        </w:rPr>
        <w:t xml:space="preserve">) </w:t>
      </w:r>
      <w:r w:rsidR="004F3E26" w:rsidRPr="00100028">
        <w:rPr>
          <w:rFonts w:asciiTheme="majorBidi" w:hAnsiTheme="majorBidi" w:cstheme="majorBidi"/>
          <w:sz w:val="24"/>
          <w:szCs w:val="24"/>
          <w:lang w:val="en-GB"/>
        </w:rPr>
        <w:t>to return</w:t>
      </w:r>
      <w:r w:rsidRPr="00100028">
        <w:rPr>
          <w:rFonts w:asciiTheme="majorBidi" w:hAnsiTheme="majorBidi" w:cstheme="majorBidi"/>
          <w:sz w:val="24"/>
          <w:szCs w:val="24"/>
          <w:lang w:val="en-GB"/>
        </w:rPr>
        <w:t xml:space="preserve"> and obtain permanent residence under the formula of family reunification</w:t>
      </w:r>
      <w:r w:rsidR="009057E4" w:rsidRPr="00100028">
        <w:rPr>
          <w:rFonts w:asciiTheme="majorBidi" w:hAnsiTheme="majorBidi" w:cstheme="majorBidi"/>
          <w:sz w:val="24"/>
          <w:szCs w:val="24"/>
          <w:lang w:val="en-GB"/>
        </w:rPr>
        <w:t>.</w:t>
      </w:r>
      <w:r w:rsidR="00AE6425" w:rsidRPr="00100028">
        <w:rPr>
          <w:rStyle w:val="FootnoteReference"/>
          <w:rFonts w:asciiTheme="majorBidi" w:hAnsiTheme="majorBidi" w:cstheme="majorBidi"/>
          <w:sz w:val="24"/>
          <w:szCs w:val="24"/>
          <w:lang w:val="en-GB"/>
        </w:rPr>
        <w:footnoteReference w:id="42"/>
      </w:r>
      <w:r w:rsidR="0096407E" w:rsidRPr="00100028">
        <w:rPr>
          <w:rFonts w:asciiTheme="majorBidi" w:hAnsiTheme="majorBidi" w:cstheme="majorBidi"/>
          <w:sz w:val="24"/>
          <w:szCs w:val="24"/>
          <w:lang w:val="en-GB"/>
        </w:rPr>
        <w:t xml:space="preserve"> Others returned with the Palestinian Authority after 1994</w:t>
      </w:r>
      <w:r w:rsidR="004F3E26" w:rsidRPr="00100028">
        <w:rPr>
          <w:rFonts w:asciiTheme="majorBidi" w:hAnsiTheme="majorBidi" w:cstheme="majorBidi"/>
          <w:sz w:val="24"/>
          <w:szCs w:val="24"/>
          <w:lang w:val="en-GB"/>
        </w:rPr>
        <w:t>,</w:t>
      </w:r>
      <w:r w:rsidR="0096407E" w:rsidRPr="00100028">
        <w:rPr>
          <w:rFonts w:asciiTheme="majorBidi" w:hAnsiTheme="majorBidi" w:cstheme="majorBidi"/>
          <w:sz w:val="24"/>
          <w:szCs w:val="24"/>
          <w:lang w:val="en-GB"/>
        </w:rPr>
        <w:t xml:space="preserve"> as will be discussed below.</w:t>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Jordan continued at the time </w:t>
      </w:r>
      <w:r w:rsidR="00AE6425" w:rsidRPr="00100028">
        <w:rPr>
          <w:rFonts w:asciiTheme="majorBidi" w:hAnsiTheme="majorBidi" w:cstheme="majorBidi"/>
          <w:sz w:val="24"/>
          <w:szCs w:val="24"/>
          <w:lang w:val="en-GB"/>
        </w:rPr>
        <w:t xml:space="preserve">of Israeli occupation </w:t>
      </w:r>
      <w:r w:rsidR="007D185C" w:rsidRPr="00100028">
        <w:rPr>
          <w:rFonts w:asciiTheme="majorBidi" w:hAnsiTheme="majorBidi" w:cstheme="majorBidi"/>
          <w:sz w:val="24"/>
          <w:szCs w:val="24"/>
          <w:lang w:val="en-GB"/>
        </w:rPr>
        <w:t>to treat</w:t>
      </w:r>
      <w:r w:rsidRPr="00100028">
        <w:rPr>
          <w:rFonts w:asciiTheme="majorBidi" w:hAnsiTheme="majorBidi" w:cstheme="majorBidi"/>
          <w:sz w:val="24"/>
          <w:szCs w:val="24"/>
          <w:lang w:val="en-GB"/>
        </w:rPr>
        <w:t xml:space="preserve"> the </w:t>
      </w:r>
      <w:r w:rsidR="000227DF" w:rsidRPr="00100028">
        <w:rPr>
          <w:rFonts w:asciiTheme="majorBidi" w:hAnsiTheme="majorBidi" w:cstheme="majorBidi"/>
          <w:sz w:val="24"/>
          <w:szCs w:val="24"/>
          <w:lang w:val="en-GB"/>
        </w:rPr>
        <w:t xml:space="preserve">inhabitants of the </w:t>
      </w:r>
      <w:r w:rsidRPr="00100028">
        <w:rPr>
          <w:rFonts w:asciiTheme="majorBidi" w:hAnsiTheme="majorBidi" w:cstheme="majorBidi"/>
          <w:sz w:val="24"/>
          <w:szCs w:val="24"/>
          <w:lang w:val="en-GB"/>
        </w:rPr>
        <w:t xml:space="preserve">West Bank </w:t>
      </w:r>
      <w:r w:rsidR="007D185C" w:rsidRPr="00100028">
        <w:rPr>
          <w:rFonts w:asciiTheme="majorBidi" w:hAnsiTheme="majorBidi" w:cstheme="majorBidi"/>
          <w:sz w:val="24"/>
          <w:szCs w:val="24"/>
          <w:lang w:val="en-GB"/>
        </w:rPr>
        <w:t>as Jordanian</w:t>
      </w:r>
      <w:r w:rsidR="000227DF" w:rsidRPr="00100028">
        <w:rPr>
          <w:rFonts w:asciiTheme="majorBidi" w:hAnsiTheme="majorBidi" w:cstheme="majorBidi"/>
          <w:sz w:val="24"/>
          <w:szCs w:val="24"/>
          <w:lang w:val="en-GB"/>
        </w:rPr>
        <w:t xml:space="preserve"> citizens</w:t>
      </w:r>
      <w:r w:rsidRPr="00100028">
        <w:rPr>
          <w:rFonts w:asciiTheme="majorBidi" w:hAnsiTheme="majorBidi" w:cstheme="majorBidi"/>
          <w:sz w:val="24"/>
          <w:szCs w:val="24"/>
          <w:lang w:val="en-GB"/>
        </w:rPr>
        <w:t>. West Bankers could tr</w:t>
      </w:r>
      <w:r w:rsidR="000227DF" w:rsidRPr="00100028">
        <w:rPr>
          <w:rFonts w:asciiTheme="majorBidi" w:hAnsiTheme="majorBidi" w:cstheme="majorBidi"/>
          <w:sz w:val="24"/>
          <w:szCs w:val="24"/>
          <w:lang w:val="en-GB"/>
        </w:rPr>
        <w:t>avel abroad, i.e. outside the Kingdom</w:t>
      </w:r>
      <w:r w:rsidRPr="00100028">
        <w:rPr>
          <w:rFonts w:asciiTheme="majorBidi" w:hAnsiTheme="majorBidi" w:cstheme="majorBidi"/>
          <w:sz w:val="24"/>
          <w:szCs w:val="24"/>
          <w:lang w:val="en-GB"/>
        </w:rPr>
        <w:t>, using Jor</w:t>
      </w:r>
      <w:r w:rsidR="00D4643C" w:rsidRPr="00100028">
        <w:rPr>
          <w:rFonts w:asciiTheme="majorBidi" w:hAnsiTheme="majorBidi" w:cstheme="majorBidi"/>
          <w:sz w:val="24"/>
          <w:szCs w:val="24"/>
          <w:lang w:val="en-GB"/>
        </w:rPr>
        <w:t xml:space="preserve">danian passports; </w:t>
      </w:r>
      <w:r w:rsidR="000227DF" w:rsidRPr="00100028">
        <w:rPr>
          <w:rFonts w:asciiTheme="majorBidi" w:hAnsiTheme="majorBidi" w:cstheme="majorBidi"/>
          <w:sz w:val="24"/>
          <w:szCs w:val="24"/>
          <w:lang w:val="en-GB"/>
        </w:rPr>
        <w:t>they crossed</w:t>
      </w:r>
      <w:r w:rsidRPr="00100028">
        <w:rPr>
          <w:rFonts w:asciiTheme="majorBidi" w:hAnsiTheme="majorBidi" w:cstheme="majorBidi"/>
          <w:sz w:val="24"/>
          <w:szCs w:val="24"/>
          <w:lang w:val="en-GB"/>
        </w:rPr>
        <w:t xml:space="preserve"> the West Bank </w:t>
      </w:r>
      <w:r w:rsidR="000227DF" w:rsidRPr="00100028">
        <w:rPr>
          <w:rFonts w:asciiTheme="majorBidi" w:hAnsiTheme="majorBidi" w:cstheme="majorBidi"/>
          <w:sz w:val="24"/>
          <w:szCs w:val="24"/>
          <w:lang w:val="en-GB"/>
        </w:rPr>
        <w:t>border with</w:t>
      </w:r>
      <w:r w:rsidRPr="00100028">
        <w:rPr>
          <w:rFonts w:asciiTheme="majorBidi" w:hAnsiTheme="majorBidi" w:cstheme="majorBidi"/>
          <w:sz w:val="24"/>
          <w:szCs w:val="24"/>
          <w:lang w:val="en-GB"/>
        </w:rPr>
        <w:t xml:space="preserve"> Jordan </w:t>
      </w:r>
      <w:r w:rsidR="000227DF" w:rsidRPr="00100028">
        <w:rPr>
          <w:rFonts w:asciiTheme="majorBidi" w:hAnsiTheme="majorBidi" w:cstheme="majorBidi"/>
          <w:sz w:val="24"/>
          <w:szCs w:val="24"/>
          <w:lang w:val="en-GB"/>
        </w:rPr>
        <w:t xml:space="preserve">by </w:t>
      </w:r>
      <w:r w:rsidR="000F4BE9" w:rsidRPr="00100028">
        <w:rPr>
          <w:rFonts w:asciiTheme="majorBidi" w:hAnsiTheme="majorBidi" w:cstheme="majorBidi"/>
          <w:sz w:val="24"/>
          <w:szCs w:val="24"/>
          <w:lang w:val="en-GB"/>
        </w:rPr>
        <w:t>employing</w:t>
      </w:r>
      <w:r w:rsidR="00D4643C" w:rsidRPr="00100028">
        <w:rPr>
          <w:rFonts w:asciiTheme="majorBidi" w:hAnsiTheme="majorBidi" w:cstheme="majorBidi"/>
          <w:sz w:val="24"/>
          <w:szCs w:val="24"/>
          <w:lang w:val="en-GB"/>
        </w:rPr>
        <w:t xml:space="preserve"> permits for each journey</w:t>
      </w:r>
      <w:r w:rsidRPr="00100028">
        <w:rPr>
          <w:rFonts w:asciiTheme="majorBidi" w:hAnsiTheme="majorBidi" w:cstheme="majorBidi"/>
          <w:sz w:val="24"/>
          <w:szCs w:val="24"/>
          <w:lang w:val="en-GB"/>
        </w:rPr>
        <w:t xml:space="preserve">. West Bankers were allowed to reside in the territory </w:t>
      </w:r>
      <w:r w:rsidR="00CA6272" w:rsidRPr="00100028">
        <w:rPr>
          <w:rFonts w:asciiTheme="majorBidi" w:hAnsiTheme="majorBidi" w:cstheme="majorBidi"/>
          <w:sz w:val="24"/>
          <w:szCs w:val="24"/>
          <w:lang w:val="en-GB"/>
        </w:rPr>
        <w:t xml:space="preserve">lying </w:t>
      </w:r>
      <w:r w:rsidRPr="00100028">
        <w:rPr>
          <w:rFonts w:asciiTheme="majorBidi" w:hAnsiTheme="majorBidi" w:cstheme="majorBidi"/>
          <w:sz w:val="24"/>
          <w:szCs w:val="24"/>
          <w:lang w:val="en-GB"/>
        </w:rPr>
        <w:t>to the east</w:t>
      </w:r>
      <w:r w:rsidR="00AE6425" w:rsidRPr="00100028">
        <w:rPr>
          <w:rFonts w:asciiTheme="majorBidi" w:hAnsiTheme="majorBidi" w:cstheme="majorBidi"/>
          <w:sz w:val="24"/>
          <w:szCs w:val="24"/>
          <w:lang w:val="en-GB"/>
        </w:rPr>
        <w:t>ern side</w:t>
      </w:r>
      <w:r w:rsidRPr="00100028">
        <w:rPr>
          <w:rFonts w:asciiTheme="majorBidi" w:hAnsiTheme="majorBidi" w:cstheme="majorBidi"/>
          <w:sz w:val="24"/>
          <w:szCs w:val="24"/>
          <w:lang w:val="en-GB"/>
        </w:rPr>
        <w:t xml:space="preserve"> of the Jordan </w:t>
      </w:r>
      <w:r w:rsidR="00CA6272" w:rsidRPr="00100028">
        <w:rPr>
          <w:rFonts w:asciiTheme="majorBidi" w:hAnsiTheme="majorBidi" w:cstheme="majorBidi"/>
          <w:sz w:val="24"/>
          <w:szCs w:val="24"/>
          <w:lang w:val="en-GB"/>
        </w:rPr>
        <w:t>River, to own real e</w:t>
      </w:r>
      <w:r w:rsidR="00AE6425" w:rsidRPr="00100028">
        <w:rPr>
          <w:rFonts w:asciiTheme="majorBidi" w:hAnsiTheme="majorBidi" w:cstheme="majorBidi"/>
          <w:sz w:val="24"/>
          <w:szCs w:val="24"/>
          <w:lang w:val="en-GB"/>
        </w:rPr>
        <w:t>s</w:t>
      </w:r>
      <w:r w:rsidR="00FE2B16" w:rsidRPr="00100028">
        <w:rPr>
          <w:rFonts w:asciiTheme="majorBidi" w:hAnsiTheme="majorBidi" w:cstheme="majorBidi"/>
          <w:sz w:val="24"/>
          <w:szCs w:val="24"/>
          <w:lang w:val="en-GB"/>
        </w:rPr>
        <w:t>tate</w:t>
      </w:r>
      <w:r w:rsidRPr="00100028">
        <w:rPr>
          <w:rFonts w:asciiTheme="majorBidi" w:hAnsiTheme="majorBidi" w:cstheme="majorBidi"/>
          <w:sz w:val="24"/>
          <w:szCs w:val="24"/>
          <w:lang w:val="en-GB"/>
        </w:rPr>
        <w:t>, to practise professions, and to hold public office—</w:t>
      </w:r>
      <w:r w:rsidR="000F4BE9" w:rsidRPr="00100028">
        <w:rPr>
          <w:rFonts w:asciiTheme="majorBidi" w:hAnsiTheme="majorBidi" w:cstheme="majorBidi"/>
          <w:sz w:val="24"/>
          <w:szCs w:val="24"/>
          <w:lang w:val="en-GB"/>
        </w:rPr>
        <w:t xml:space="preserve"> </w:t>
      </w:r>
      <w:r w:rsidRPr="00100028">
        <w:rPr>
          <w:rFonts w:asciiTheme="majorBidi" w:hAnsiTheme="majorBidi" w:cstheme="majorBidi"/>
          <w:sz w:val="24"/>
          <w:szCs w:val="24"/>
          <w:lang w:val="en-GB"/>
        </w:rPr>
        <w:t>just like East Bankers/</w:t>
      </w:r>
      <w:r w:rsidR="007D185C" w:rsidRPr="00100028">
        <w:rPr>
          <w:rFonts w:asciiTheme="majorBidi" w:hAnsiTheme="majorBidi" w:cstheme="majorBidi"/>
          <w:sz w:val="24"/>
          <w:szCs w:val="24"/>
          <w:lang w:val="en-GB"/>
        </w:rPr>
        <w:t xml:space="preserve">native </w:t>
      </w:r>
      <w:r w:rsidRPr="00100028">
        <w:rPr>
          <w:rFonts w:asciiTheme="majorBidi" w:hAnsiTheme="majorBidi" w:cstheme="majorBidi"/>
          <w:sz w:val="24"/>
          <w:szCs w:val="24"/>
          <w:lang w:val="en-GB"/>
        </w:rPr>
        <w:t>Jordanians.</w:t>
      </w:r>
      <w:r w:rsidR="00D4643C" w:rsidRPr="00100028">
        <w:rPr>
          <w:rStyle w:val="FootnoteReference"/>
          <w:rFonts w:asciiTheme="majorBidi" w:hAnsiTheme="majorBidi" w:cstheme="majorBidi"/>
          <w:sz w:val="24"/>
          <w:szCs w:val="24"/>
          <w:lang w:val="en-GB"/>
        </w:rPr>
        <w:footnoteReference w:id="43"/>
      </w:r>
    </w:p>
    <w:p w:rsidR="00A52788" w:rsidRPr="00100028" w:rsidRDefault="00A52788" w:rsidP="00100028">
      <w:pPr>
        <w:bidi w:val="0"/>
        <w:jc w:val="both"/>
        <w:rPr>
          <w:rFonts w:asciiTheme="majorBidi" w:hAnsiTheme="majorBidi" w:cstheme="majorBidi"/>
          <w:sz w:val="24"/>
          <w:szCs w:val="24"/>
          <w:lang w:val="en-GB" w:bidi="ar-SA"/>
        </w:rPr>
      </w:pPr>
    </w:p>
    <w:p w:rsidR="00AE6425"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The same status continued intact </w:t>
      </w:r>
      <w:r w:rsidR="00F16F64" w:rsidRPr="00100028">
        <w:rPr>
          <w:rFonts w:asciiTheme="majorBidi" w:hAnsiTheme="majorBidi" w:cstheme="majorBidi"/>
          <w:sz w:val="24"/>
          <w:szCs w:val="24"/>
          <w:lang w:val="en-GB"/>
        </w:rPr>
        <w:t>until 31 July 1988</w:t>
      </w:r>
      <w:r w:rsidRPr="00100028">
        <w:rPr>
          <w:rFonts w:asciiTheme="majorBidi" w:hAnsiTheme="majorBidi" w:cstheme="majorBidi"/>
          <w:sz w:val="24"/>
          <w:szCs w:val="24"/>
          <w:lang w:val="en-GB"/>
        </w:rPr>
        <w:t xml:space="preserve">, </w:t>
      </w:r>
      <w:r w:rsidR="00F16F64" w:rsidRPr="00100028">
        <w:rPr>
          <w:rFonts w:asciiTheme="majorBidi" w:hAnsiTheme="majorBidi" w:cstheme="majorBidi"/>
          <w:sz w:val="24"/>
          <w:szCs w:val="24"/>
          <w:lang w:val="en-GB"/>
        </w:rPr>
        <w:t>when the King</w:t>
      </w:r>
      <w:r w:rsidRPr="00100028">
        <w:rPr>
          <w:rFonts w:asciiTheme="majorBidi" w:hAnsiTheme="majorBidi" w:cstheme="majorBidi"/>
          <w:sz w:val="24"/>
          <w:szCs w:val="24"/>
          <w:lang w:val="en-GB"/>
        </w:rPr>
        <w:t xml:space="preserve"> </w:t>
      </w:r>
      <w:r w:rsidR="00F16F64" w:rsidRPr="00100028">
        <w:rPr>
          <w:rFonts w:asciiTheme="majorBidi" w:hAnsiTheme="majorBidi" w:cstheme="majorBidi"/>
          <w:sz w:val="24"/>
          <w:szCs w:val="24"/>
          <w:lang w:val="en-GB"/>
        </w:rPr>
        <w:t xml:space="preserve">of </w:t>
      </w:r>
      <w:r w:rsidRPr="00100028">
        <w:rPr>
          <w:rFonts w:asciiTheme="majorBidi" w:hAnsiTheme="majorBidi" w:cstheme="majorBidi"/>
          <w:sz w:val="24"/>
          <w:szCs w:val="24"/>
          <w:lang w:val="en-GB"/>
        </w:rPr>
        <w:t>Jordan decided to end the Kingdom</w:t>
      </w:r>
      <w:r w:rsidR="00F130C3"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s sovereignty over the West Bank.</w:t>
      </w:r>
      <w:r w:rsidR="00AE6425" w:rsidRPr="00100028">
        <w:rPr>
          <w:rStyle w:val="FootnoteReference"/>
          <w:rFonts w:asciiTheme="majorBidi" w:hAnsiTheme="majorBidi" w:cstheme="majorBidi"/>
          <w:sz w:val="24"/>
          <w:szCs w:val="24"/>
          <w:lang w:val="en-GB"/>
        </w:rPr>
        <w:footnoteReference w:id="44"/>
      </w:r>
      <w:r w:rsidRPr="00100028">
        <w:rPr>
          <w:rFonts w:asciiTheme="majorBidi" w:hAnsiTheme="majorBidi" w:cstheme="majorBidi"/>
          <w:sz w:val="24"/>
          <w:szCs w:val="24"/>
          <w:lang w:val="en-GB"/>
        </w:rPr>
        <w:t xml:space="preserve"> </w:t>
      </w:r>
      <w:r w:rsidR="009F450E" w:rsidRPr="00100028">
        <w:rPr>
          <w:rFonts w:asciiTheme="majorBidi" w:hAnsiTheme="majorBidi" w:cstheme="majorBidi"/>
          <w:sz w:val="24"/>
          <w:szCs w:val="24"/>
          <w:lang w:val="en-GB"/>
        </w:rPr>
        <w:t xml:space="preserve">Three weeks later, the Jordanian Prime Minister issued instructions </w:t>
      </w:r>
      <w:r w:rsidR="00040447" w:rsidRPr="00100028">
        <w:rPr>
          <w:rFonts w:asciiTheme="majorBidi" w:hAnsiTheme="majorBidi" w:cstheme="majorBidi"/>
          <w:sz w:val="24"/>
          <w:szCs w:val="24"/>
          <w:lang w:val="en-GB"/>
        </w:rPr>
        <w:t xml:space="preserve">to </w:t>
      </w:r>
      <w:r w:rsidR="00040447" w:rsidRPr="00100028">
        <w:rPr>
          <w:rFonts w:asciiTheme="majorBidi" w:hAnsiTheme="majorBidi" w:cstheme="majorBidi"/>
          <w:i/>
          <w:iCs/>
          <w:sz w:val="24"/>
          <w:szCs w:val="24"/>
          <w:lang w:val="en-GB"/>
        </w:rPr>
        <w:t>ipso facto</w:t>
      </w:r>
      <w:r w:rsidR="009F450E" w:rsidRPr="00100028">
        <w:rPr>
          <w:rFonts w:asciiTheme="majorBidi" w:hAnsiTheme="majorBidi" w:cstheme="majorBidi"/>
          <w:sz w:val="24"/>
          <w:szCs w:val="24"/>
          <w:lang w:val="en-GB"/>
        </w:rPr>
        <w:t xml:space="preserve"> stripped persons who were residing in the West Bank </w:t>
      </w:r>
      <w:r w:rsidR="00040447" w:rsidRPr="00100028">
        <w:rPr>
          <w:rFonts w:asciiTheme="majorBidi" w:hAnsiTheme="majorBidi" w:cstheme="majorBidi"/>
          <w:sz w:val="24"/>
          <w:szCs w:val="24"/>
          <w:lang w:val="en-GB"/>
        </w:rPr>
        <w:t xml:space="preserve">on that date </w:t>
      </w:r>
      <w:r w:rsidR="009F450E" w:rsidRPr="00100028">
        <w:rPr>
          <w:rFonts w:asciiTheme="majorBidi" w:hAnsiTheme="majorBidi" w:cstheme="majorBidi"/>
          <w:sz w:val="24"/>
          <w:szCs w:val="24"/>
          <w:lang w:val="en-GB"/>
        </w:rPr>
        <w:t>from their Jordanian citizenship.</w:t>
      </w:r>
      <w:r w:rsidR="009F450E" w:rsidRPr="00100028">
        <w:rPr>
          <w:rStyle w:val="FootnoteReference"/>
          <w:rFonts w:asciiTheme="majorBidi" w:hAnsiTheme="majorBidi" w:cstheme="majorBidi"/>
          <w:sz w:val="24"/>
          <w:szCs w:val="24"/>
          <w:lang w:val="en-GB"/>
        </w:rPr>
        <w:footnoteReference w:id="45"/>
      </w:r>
      <w:r w:rsidR="00040447" w:rsidRPr="00100028">
        <w:rPr>
          <w:rFonts w:asciiTheme="majorBidi" w:hAnsiTheme="majorBidi" w:cstheme="majorBidi"/>
          <w:sz w:val="24"/>
          <w:szCs w:val="24"/>
          <w:lang w:val="en-GB"/>
        </w:rPr>
        <w:t xml:space="preserve"> </w:t>
      </w:r>
      <w:r w:rsidRPr="00100028">
        <w:rPr>
          <w:rFonts w:asciiTheme="majorBidi" w:hAnsiTheme="majorBidi" w:cstheme="majorBidi"/>
          <w:sz w:val="24"/>
          <w:szCs w:val="24"/>
          <w:lang w:val="en-GB"/>
        </w:rPr>
        <w:t>Jordanian courts upheld the King</w:t>
      </w:r>
      <w:r w:rsidR="00F130C3"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 xml:space="preserve">s decision and considered West Bankers as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Palestinians</w:t>
      </w:r>
      <w:r w:rsidR="009F0BCE"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w:t>
      </w:r>
      <w:r w:rsidR="00F130C3" w:rsidRPr="00100028">
        <w:rPr>
          <w:rFonts w:asciiTheme="majorBidi" w:hAnsiTheme="majorBidi" w:cstheme="majorBidi"/>
          <w:sz w:val="24"/>
          <w:szCs w:val="24"/>
          <w:lang w:val="en-GB"/>
        </w:rPr>
        <w:t xml:space="preserve"> namely foreigners</w:t>
      </w:r>
      <w:r w:rsidRPr="00100028">
        <w:rPr>
          <w:rFonts w:asciiTheme="majorBidi" w:hAnsiTheme="majorBidi" w:cstheme="majorBidi"/>
          <w:sz w:val="24"/>
          <w:szCs w:val="24"/>
          <w:lang w:val="en-GB"/>
        </w:rPr>
        <w:t xml:space="preserve"> </w:t>
      </w:r>
      <w:r w:rsidR="00F130C3" w:rsidRPr="00100028">
        <w:rPr>
          <w:rFonts w:asciiTheme="majorBidi" w:hAnsiTheme="majorBidi" w:cstheme="majorBidi"/>
          <w:sz w:val="24"/>
          <w:szCs w:val="24"/>
          <w:lang w:val="en-GB"/>
        </w:rPr>
        <w:t>while in the Kingdom</w:t>
      </w:r>
      <w:r w:rsidRPr="00100028">
        <w:rPr>
          <w:rFonts w:asciiTheme="majorBidi" w:hAnsiTheme="majorBidi" w:cstheme="majorBidi"/>
          <w:sz w:val="24"/>
          <w:szCs w:val="24"/>
          <w:lang w:val="en-GB"/>
        </w:rPr>
        <w:t>.</w:t>
      </w:r>
      <w:r w:rsidR="00AE6425" w:rsidRPr="00100028">
        <w:rPr>
          <w:rStyle w:val="FootnoteReference"/>
          <w:rFonts w:asciiTheme="majorBidi" w:hAnsiTheme="majorBidi" w:cstheme="majorBidi"/>
          <w:sz w:val="24"/>
          <w:szCs w:val="24"/>
          <w:lang w:val="en-GB"/>
        </w:rPr>
        <w:footnoteReference w:id="46"/>
      </w:r>
      <w:r w:rsidR="00BA016A" w:rsidRPr="00100028">
        <w:rPr>
          <w:rFonts w:asciiTheme="majorBidi" w:hAnsiTheme="majorBidi" w:cstheme="majorBidi"/>
          <w:sz w:val="24"/>
          <w:szCs w:val="24"/>
          <w:lang w:val="en-GB"/>
        </w:rPr>
        <w:t xml:space="preserve"> Jordani</w:t>
      </w:r>
      <w:r w:rsidR="00F00408" w:rsidRPr="00100028">
        <w:rPr>
          <w:rFonts w:asciiTheme="majorBidi" w:hAnsiTheme="majorBidi" w:cstheme="majorBidi"/>
          <w:sz w:val="24"/>
          <w:szCs w:val="24"/>
          <w:lang w:val="en-GB"/>
        </w:rPr>
        <w:t xml:space="preserve">an passports </w:t>
      </w:r>
      <w:r w:rsidR="00040447" w:rsidRPr="00100028">
        <w:rPr>
          <w:rFonts w:asciiTheme="majorBidi" w:hAnsiTheme="majorBidi" w:cstheme="majorBidi"/>
          <w:sz w:val="24"/>
          <w:szCs w:val="24"/>
          <w:lang w:val="en-GB"/>
        </w:rPr>
        <w:t>held by</w:t>
      </w:r>
      <w:r w:rsidR="00BA016A" w:rsidRPr="00100028">
        <w:rPr>
          <w:rFonts w:asciiTheme="majorBidi" w:hAnsiTheme="majorBidi" w:cstheme="majorBidi"/>
          <w:sz w:val="24"/>
          <w:szCs w:val="24"/>
          <w:lang w:val="en-GB"/>
        </w:rPr>
        <w:t xml:space="preserve"> </w:t>
      </w:r>
      <w:r w:rsidR="00040447" w:rsidRPr="00100028">
        <w:rPr>
          <w:rFonts w:asciiTheme="majorBidi" w:hAnsiTheme="majorBidi" w:cstheme="majorBidi"/>
          <w:sz w:val="24"/>
          <w:szCs w:val="24"/>
          <w:lang w:val="en-GB"/>
        </w:rPr>
        <w:t xml:space="preserve">the </w:t>
      </w:r>
      <w:r w:rsidR="00BA016A" w:rsidRPr="00100028">
        <w:rPr>
          <w:rFonts w:asciiTheme="majorBidi" w:hAnsiTheme="majorBidi" w:cstheme="majorBidi"/>
          <w:sz w:val="24"/>
          <w:szCs w:val="24"/>
          <w:lang w:val="en-GB"/>
        </w:rPr>
        <w:t>West Bank</w:t>
      </w:r>
      <w:r w:rsidR="00040447" w:rsidRPr="00100028">
        <w:rPr>
          <w:rFonts w:asciiTheme="majorBidi" w:hAnsiTheme="majorBidi" w:cstheme="majorBidi"/>
          <w:sz w:val="24"/>
          <w:szCs w:val="24"/>
          <w:lang w:val="en-GB"/>
        </w:rPr>
        <w:t>ers</w:t>
      </w:r>
      <w:r w:rsidR="00BA016A" w:rsidRPr="00100028">
        <w:rPr>
          <w:rFonts w:asciiTheme="majorBidi" w:hAnsiTheme="majorBidi" w:cstheme="majorBidi"/>
          <w:sz w:val="24"/>
          <w:szCs w:val="24"/>
          <w:lang w:val="en-GB"/>
        </w:rPr>
        <w:t xml:space="preserve"> at the time</w:t>
      </w:r>
      <w:r w:rsidR="00F00408" w:rsidRPr="00100028">
        <w:rPr>
          <w:rFonts w:asciiTheme="majorBidi" w:hAnsiTheme="majorBidi" w:cstheme="majorBidi"/>
          <w:sz w:val="24"/>
          <w:szCs w:val="24"/>
          <w:lang w:val="en-GB"/>
        </w:rPr>
        <w:t xml:space="preserve"> </w:t>
      </w:r>
      <w:r w:rsidR="00040447" w:rsidRPr="00100028">
        <w:rPr>
          <w:rFonts w:asciiTheme="majorBidi" w:hAnsiTheme="majorBidi" w:cstheme="majorBidi"/>
          <w:sz w:val="24"/>
          <w:szCs w:val="24"/>
          <w:lang w:val="en-GB"/>
        </w:rPr>
        <w:t>were turned into</w:t>
      </w:r>
      <w:r w:rsidR="00F00408" w:rsidRPr="00100028">
        <w:rPr>
          <w:rFonts w:asciiTheme="majorBidi" w:hAnsiTheme="majorBidi" w:cstheme="majorBidi"/>
          <w:sz w:val="24"/>
          <w:szCs w:val="24"/>
          <w:lang w:val="en-GB"/>
        </w:rPr>
        <w:t xml:space="preserve"> </w:t>
      </w:r>
      <w:r w:rsidR="000227DF" w:rsidRPr="00100028">
        <w:rPr>
          <w:rFonts w:asciiTheme="majorBidi" w:hAnsiTheme="majorBidi" w:cstheme="majorBidi"/>
          <w:sz w:val="24"/>
          <w:szCs w:val="24"/>
          <w:lang w:val="en-GB"/>
        </w:rPr>
        <w:t>temporary</w:t>
      </w:r>
      <w:r w:rsidR="00F00408" w:rsidRPr="00100028">
        <w:rPr>
          <w:rFonts w:asciiTheme="majorBidi" w:hAnsiTheme="majorBidi" w:cstheme="majorBidi"/>
          <w:sz w:val="24"/>
          <w:szCs w:val="24"/>
          <w:lang w:val="en-GB"/>
        </w:rPr>
        <w:t xml:space="preserve"> </w:t>
      </w:r>
      <w:r w:rsidR="004F3E26" w:rsidRPr="00100028">
        <w:rPr>
          <w:rFonts w:asciiTheme="majorBidi" w:hAnsiTheme="majorBidi" w:cstheme="majorBidi"/>
          <w:sz w:val="24"/>
          <w:szCs w:val="24"/>
          <w:lang w:val="en-GB"/>
        </w:rPr>
        <w:t xml:space="preserve">travel </w:t>
      </w:r>
      <w:r w:rsidR="00040447" w:rsidRPr="00100028">
        <w:rPr>
          <w:rFonts w:asciiTheme="majorBidi" w:hAnsiTheme="majorBidi" w:cstheme="majorBidi"/>
          <w:sz w:val="24"/>
          <w:szCs w:val="24"/>
          <w:lang w:val="en-GB"/>
        </w:rPr>
        <w:t>documents</w:t>
      </w:r>
      <w:r w:rsidR="000227DF" w:rsidRPr="00100028">
        <w:rPr>
          <w:rFonts w:asciiTheme="majorBidi" w:hAnsiTheme="majorBidi" w:cstheme="majorBidi"/>
          <w:sz w:val="24"/>
          <w:szCs w:val="24"/>
          <w:lang w:val="en-GB"/>
        </w:rPr>
        <w:t>, lasting initially for two years,</w:t>
      </w:r>
      <w:r w:rsidR="000227DF" w:rsidRPr="00100028">
        <w:rPr>
          <w:rStyle w:val="FootnoteReference"/>
          <w:rFonts w:asciiTheme="majorBidi" w:hAnsiTheme="majorBidi" w:cstheme="majorBidi"/>
          <w:sz w:val="24"/>
          <w:szCs w:val="24"/>
          <w:lang w:val="en-GB"/>
        </w:rPr>
        <w:footnoteReference w:id="47"/>
      </w:r>
      <w:r w:rsidR="00F00408" w:rsidRPr="00100028">
        <w:rPr>
          <w:rFonts w:asciiTheme="majorBidi" w:hAnsiTheme="majorBidi" w:cstheme="majorBidi"/>
          <w:sz w:val="24"/>
          <w:szCs w:val="24"/>
          <w:lang w:val="en-GB"/>
        </w:rPr>
        <w:t xml:space="preserve"> </w:t>
      </w:r>
      <w:r w:rsidR="000227DF" w:rsidRPr="00100028">
        <w:rPr>
          <w:rFonts w:asciiTheme="majorBidi" w:hAnsiTheme="majorBidi" w:cstheme="majorBidi"/>
          <w:sz w:val="24"/>
          <w:szCs w:val="24"/>
          <w:lang w:val="en-GB"/>
        </w:rPr>
        <w:t>which</w:t>
      </w:r>
      <w:r w:rsidR="00F00408" w:rsidRPr="00100028">
        <w:rPr>
          <w:rFonts w:asciiTheme="majorBidi" w:hAnsiTheme="majorBidi" w:cstheme="majorBidi"/>
          <w:sz w:val="24"/>
          <w:szCs w:val="24"/>
          <w:lang w:val="en-GB"/>
        </w:rPr>
        <w:t xml:space="preserve"> do not give their bearer citizen’s rights in Jordan.</w:t>
      </w:r>
      <w:r w:rsidR="009F450E" w:rsidRPr="00100028">
        <w:rPr>
          <w:rStyle w:val="FootnoteReference"/>
          <w:rFonts w:asciiTheme="majorBidi" w:hAnsiTheme="majorBidi" w:cstheme="majorBidi"/>
          <w:sz w:val="24"/>
          <w:szCs w:val="24"/>
          <w:lang w:val="en-GB"/>
        </w:rPr>
        <w:footnoteReference w:id="48"/>
      </w:r>
      <w:r w:rsidR="000227DF" w:rsidRPr="00100028">
        <w:rPr>
          <w:rFonts w:asciiTheme="majorBidi" w:hAnsiTheme="majorBidi" w:cstheme="majorBidi"/>
          <w:sz w:val="24"/>
          <w:szCs w:val="24"/>
          <w:lang w:val="en-GB"/>
        </w:rPr>
        <w:t xml:space="preserve"> </w:t>
      </w:r>
      <w:r w:rsidR="00F00408" w:rsidRPr="00100028">
        <w:rPr>
          <w:rFonts w:asciiTheme="majorBidi" w:hAnsiTheme="majorBidi" w:cstheme="majorBidi"/>
          <w:sz w:val="24"/>
          <w:szCs w:val="24"/>
          <w:lang w:val="en-GB"/>
        </w:rPr>
        <w:t>T</w:t>
      </w:r>
      <w:r w:rsidR="00BA016A" w:rsidRPr="00100028">
        <w:rPr>
          <w:rFonts w:asciiTheme="majorBidi" w:hAnsiTheme="majorBidi" w:cstheme="majorBidi"/>
          <w:sz w:val="24"/>
          <w:szCs w:val="24"/>
          <w:lang w:val="en-GB"/>
        </w:rPr>
        <w:t>housand</w:t>
      </w:r>
      <w:r w:rsidR="00040447" w:rsidRPr="00100028">
        <w:rPr>
          <w:rFonts w:asciiTheme="majorBidi" w:hAnsiTheme="majorBidi" w:cstheme="majorBidi"/>
          <w:sz w:val="24"/>
          <w:szCs w:val="24"/>
          <w:lang w:val="en-GB"/>
        </w:rPr>
        <w:t>s</w:t>
      </w:r>
      <w:r w:rsidR="00BA016A" w:rsidRPr="00100028">
        <w:rPr>
          <w:rFonts w:asciiTheme="majorBidi" w:hAnsiTheme="majorBidi" w:cstheme="majorBidi"/>
          <w:sz w:val="24"/>
          <w:szCs w:val="24"/>
          <w:lang w:val="en-GB"/>
        </w:rPr>
        <w:t xml:space="preserve"> others, particularly those West Bakers who were residing outside the West Bank at the time of the aforesaid 1988 decision</w:t>
      </w:r>
      <w:r w:rsidR="00F00408" w:rsidRPr="00100028">
        <w:rPr>
          <w:rFonts w:asciiTheme="majorBidi" w:hAnsiTheme="majorBidi" w:cstheme="majorBidi"/>
          <w:sz w:val="24"/>
          <w:szCs w:val="24"/>
          <w:lang w:val="en-GB"/>
        </w:rPr>
        <w:t>,</w:t>
      </w:r>
      <w:r w:rsidR="00BA016A" w:rsidRPr="00100028">
        <w:rPr>
          <w:rFonts w:asciiTheme="majorBidi" w:hAnsiTheme="majorBidi" w:cstheme="majorBidi"/>
          <w:sz w:val="24"/>
          <w:szCs w:val="24"/>
          <w:lang w:val="en-GB"/>
        </w:rPr>
        <w:t xml:space="preserve"> are still facing such withdrawal risks</w:t>
      </w:r>
      <w:r w:rsidRPr="00100028">
        <w:rPr>
          <w:rFonts w:asciiTheme="majorBidi" w:hAnsiTheme="majorBidi" w:cstheme="majorBidi"/>
          <w:sz w:val="24"/>
          <w:szCs w:val="24"/>
          <w:lang w:val="en-GB"/>
        </w:rPr>
        <w:t>.</w:t>
      </w:r>
      <w:r w:rsidR="00AE6425" w:rsidRPr="00100028">
        <w:rPr>
          <w:rStyle w:val="FootnoteReference"/>
          <w:rFonts w:asciiTheme="majorBidi" w:hAnsiTheme="majorBidi" w:cstheme="majorBidi"/>
          <w:sz w:val="24"/>
          <w:szCs w:val="24"/>
          <w:lang w:val="en-GB"/>
        </w:rPr>
        <w:footnoteReference w:id="49"/>
      </w:r>
      <w:r w:rsidR="00BA016A" w:rsidRPr="00100028">
        <w:rPr>
          <w:rFonts w:asciiTheme="majorBidi" w:hAnsiTheme="majorBidi" w:cstheme="majorBidi"/>
          <w:sz w:val="24"/>
          <w:szCs w:val="24"/>
          <w:lang w:val="en-GB"/>
        </w:rPr>
        <w:t xml:space="preserve"> </w:t>
      </w:r>
      <w:r w:rsidR="000227DF" w:rsidRPr="00100028">
        <w:rPr>
          <w:rFonts w:asciiTheme="majorBidi" w:hAnsiTheme="majorBidi" w:cstheme="majorBidi"/>
          <w:sz w:val="24"/>
          <w:szCs w:val="24"/>
          <w:lang w:val="en-GB"/>
        </w:rPr>
        <w:t xml:space="preserve">Today, </w:t>
      </w:r>
      <w:r w:rsidR="00BA016A" w:rsidRPr="00100028">
        <w:rPr>
          <w:rFonts w:asciiTheme="majorBidi" w:hAnsiTheme="majorBidi" w:cstheme="majorBidi"/>
          <w:sz w:val="24"/>
          <w:szCs w:val="24"/>
          <w:lang w:val="en-GB"/>
        </w:rPr>
        <w:t>Jordan still grants</w:t>
      </w:r>
      <w:r w:rsidR="004F3E26" w:rsidRPr="00100028">
        <w:rPr>
          <w:rFonts w:asciiTheme="majorBidi" w:hAnsiTheme="majorBidi" w:cstheme="majorBidi"/>
          <w:sz w:val="24"/>
          <w:szCs w:val="24"/>
          <w:lang w:val="en-GB"/>
        </w:rPr>
        <w:t xml:space="preserve"> thousands</w:t>
      </w:r>
      <w:r w:rsidRPr="00100028">
        <w:rPr>
          <w:rFonts w:asciiTheme="majorBidi" w:hAnsiTheme="majorBidi" w:cstheme="majorBidi"/>
          <w:sz w:val="24"/>
          <w:szCs w:val="24"/>
          <w:lang w:val="en-GB"/>
        </w:rPr>
        <w:t xml:space="preserve"> </w:t>
      </w:r>
      <w:r w:rsidR="004F3E26" w:rsidRPr="00100028">
        <w:rPr>
          <w:rFonts w:asciiTheme="majorBidi" w:hAnsiTheme="majorBidi" w:cstheme="majorBidi"/>
          <w:sz w:val="24"/>
          <w:szCs w:val="24"/>
          <w:lang w:val="en-GB"/>
        </w:rPr>
        <w:t xml:space="preserve">of </w:t>
      </w:r>
      <w:r w:rsidR="0081428B" w:rsidRPr="00100028">
        <w:rPr>
          <w:rFonts w:asciiTheme="majorBidi" w:hAnsiTheme="majorBidi" w:cstheme="majorBidi"/>
          <w:sz w:val="24"/>
          <w:szCs w:val="24"/>
          <w:lang w:val="en-GB"/>
        </w:rPr>
        <w:t>West Banker</w:t>
      </w:r>
      <w:r w:rsidR="004F3E26" w:rsidRPr="00100028">
        <w:rPr>
          <w:rFonts w:asciiTheme="majorBidi" w:hAnsiTheme="majorBidi" w:cstheme="majorBidi"/>
          <w:sz w:val="24"/>
          <w:szCs w:val="24"/>
          <w:lang w:val="en-GB"/>
        </w:rPr>
        <w:t>s</w:t>
      </w:r>
      <w:r w:rsidR="00CA6272" w:rsidRPr="00100028">
        <w:rPr>
          <w:rFonts w:asciiTheme="majorBidi" w:hAnsiTheme="majorBidi" w:cstheme="majorBidi"/>
          <w:sz w:val="24"/>
          <w:szCs w:val="24"/>
          <w:lang w:val="en-GB"/>
        </w:rPr>
        <w:t xml:space="preserve"> </w:t>
      </w:r>
      <w:r w:rsidR="000227DF" w:rsidRPr="00100028">
        <w:rPr>
          <w:rFonts w:asciiTheme="majorBidi" w:hAnsiTheme="majorBidi" w:cstheme="majorBidi"/>
          <w:sz w:val="24"/>
          <w:szCs w:val="24"/>
          <w:lang w:val="en-GB"/>
        </w:rPr>
        <w:t xml:space="preserve">a five-year long </w:t>
      </w:r>
      <w:r w:rsidR="00CA6272" w:rsidRPr="00100028">
        <w:rPr>
          <w:rFonts w:asciiTheme="majorBidi" w:hAnsiTheme="majorBidi" w:cstheme="majorBidi"/>
          <w:sz w:val="24"/>
          <w:szCs w:val="24"/>
          <w:lang w:val="en-GB"/>
        </w:rPr>
        <w:t>temporary</w:t>
      </w:r>
      <w:r w:rsidRPr="00100028">
        <w:rPr>
          <w:rFonts w:asciiTheme="majorBidi" w:hAnsiTheme="majorBidi" w:cstheme="majorBidi"/>
          <w:sz w:val="24"/>
          <w:szCs w:val="24"/>
          <w:lang w:val="en-GB"/>
        </w:rPr>
        <w:t xml:space="preserve"> </w:t>
      </w:r>
      <w:r w:rsidR="00BA016A" w:rsidRPr="00100028">
        <w:rPr>
          <w:rFonts w:asciiTheme="majorBidi" w:hAnsiTheme="majorBidi" w:cstheme="majorBidi"/>
          <w:sz w:val="24"/>
          <w:szCs w:val="24"/>
          <w:lang w:val="en-GB"/>
        </w:rPr>
        <w:t xml:space="preserve">Jordanian </w:t>
      </w:r>
      <w:r w:rsidRPr="00100028">
        <w:rPr>
          <w:rFonts w:asciiTheme="majorBidi" w:hAnsiTheme="majorBidi" w:cstheme="majorBidi"/>
          <w:sz w:val="24"/>
          <w:szCs w:val="24"/>
          <w:lang w:val="en-GB"/>
        </w:rPr>
        <w:t>pa</w:t>
      </w:r>
      <w:r w:rsidR="0081428B" w:rsidRPr="00100028">
        <w:rPr>
          <w:rFonts w:asciiTheme="majorBidi" w:hAnsiTheme="majorBidi" w:cstheme="majorBidi"/>
          <w:sz w:val="24"/>
          <w:szCs w:val="24"/>
          <w:lang w:val="en-GB"/>
        </w:rPr>
        <w:t>ssport upon application</w:t>
      </w:r>
      <w:r w:rsidR="000227DF" w:rsidRPr="00100028">
        <w:rPr>
          <w:rFonts w:asciiTheme="majorBidi" w:hAnsiTheme="majorBidi" w:cstheme="majorBidi"/>
          <w:sz w:val="24"/>
          <w:szCs w:val="24"/>
          <w:lang w:val="en-GB"/>
        </w:rPr>
        <w:t>.</w:t>
      </w:r>
      <w:r w:rsidR="00F00408" w:rsidRPr="00100028">
        <w:rPr>
          <w:rStyle w:val="FootnoteReference"/>
          <w:rFonts w:asciiTheme="majorBidi" w:hAnsiTheme="majorBidi" w:cstheme="majorBidi"/>
          <w:sz w:val="24"/>
          <w:szCs w:val="24"/>
          <w:lang w:val="en-GB"/>
        </w:rPr>
        <w:footnoteReference w:id="50"/>
      </w:r>
      <w:r w:rsidR="00BA016A" w:rsidRPr="00100028">
        <w:rPr>
          <w:rFonts w:asciiTheme="majorBidi" w:hAnsiTheme="majorBidi" w:cstheme="majorBidi"/>
          <w:sz w:val="24"/>
          <w:szCs w:val="24"/>
          <w:lang w:val="en-GB"/>
        </w:rPr>
        <w:t xml:space="preserve"> </w:t>
      </w:r>
      <w:r w:rsidR="000227DF" w:rsidRPr="00100028">
        <w:rPr>
          <w:rFonts w:asciiTheme="majorBidi" w:hAnsiTheme="majorBidi" w:cstheme="majorBidi"/>
          <w:sz w:val="24"/>
          <w:szCs w:val="24"/>
          <w:lang w:val="en-GB"/>
        </w:rPr>
        <w:t xml:space="preserve">These passports </w:t>
      </w:r>
      <w:r w:rsidR="00BA016A" w:rsidRPr="00100028">
        <w:rPr>
          <w:rFonts w:asciiTheme="majorBidi" w:hAnsiTheme="majorBidi" w:cstheme="majorBidi"/>
          <w:sz w:val="24"/>
          <w:szCs w:val="24"/>
          <w:lang w:val="en-GB"/>
        </w:rPr>
        <w:t>are</w:t>
      </w:r>
      <w:r w:rsidRPr="00100028">
        <w:rPr>
          <w:rFonts w:asciiTheme="majorBidi" w:hAnsiTheme="majorBidi" w:cstheme="majorBidi"/>
          <w:sz w:val="24"/>
          <w:szCs w:val="24"/>
          <w:lang w:val="en-GB"/>
        </w:rPr>
        <w:t xml:space="preserve"> </w:t>
      </w:r>
      <w:r w:rsidR="00BA016A" w:rsidRPr="00100028">
        <w:rPr>
          <w:rFonts w:asciiTheme="majorBidi" w:hAnsiTheme="majorBidi" w:cstheme="majorBidi"/>
          <w:sz w:val="24"/>
          <w:szCs w:val="24"/>
          <w:lang w:val="en-GB"/>
        </w:rPr>
        <w:t>treated by Jordan and by most States</w:t>
      </w:r>
      <w:r w:rsidRPr="00100028">
        <w:rPr>
          <w:rFonts w:asciiTheme="majorBidi" w:hAnsiTheme="majorBidi" w:cstheme="majorBidi"/>
          <w:sz w:val="24"/>
          <w:szCs w:val="24"/>
          <w:lang w:val="en-GB"/>
        </w:rPr>
        <w:t xml:space="preserve"> a</w:t>
      </w:r>
      <w:r w:rsidR="00BA016A" w:rsidRPr="00100028">
        <w:rPr>
          <w:rFonts w:asciiTheme="majorBidi" w:hAnsiTheme="majorBidi" w:cstheme="majorBidi"/>
          <w:sz w:val="24"/>
          <w:szCs w:val="24"/>
          <w:lang w:val="en-GB"/>
        </w:rPr>
        <w:t xml:space="preserve">s travel documents, not </w:t>
      </w:r>
      <w:r w:rsidR="000227DF" w:rsidRPr="00100028">
        <w:rPr>
          <w:rFonts w:asciiTheme="majorBidi" w:hAnsiTheme="majorBidi" w:cstheme="majorBidi"/>
          <w:sz w:val="24"/>
          <w:szCs w:val="24"/>
          <w:lang w:val="en-GB"/>
        </w:rPr>
        <w:t xml:space="preserve">as ordinary Jordanian </w:t>
      </w:r>
      <w:r w:rsidR="00BA016A" w:rsidRPr="00100028">
        <w:rPr>
          <w:rFonts w:asciiTheme="majorBidi" w:hAnsiTheme="majorBidi" w:cstheme="majorBidi"/>
          <w:sz w:val="24"/>
          <w:szCs w:val="24"/>
          <w:lang w:val="en-GB"/>
        </w:rPr>
        <w:t>passports</w:t>
      </w:r>
      <w:r w:rsidR="000227DF" w:rsidRPr="00100028">
        <w:rPr>
          <w:rFonts w:asciiTheme="majorBidi" w:hAnsiTheme="majorBidi" w:cstheme="majorBidi"/>
          <w:sz w:val="24"/>
          <w:szCs w:val="24"/>
          <w:lang w:val="en-GB"/>
        </w:rPr>
        <w:t xml:space="preserve"> with a national number</w:t>
      </w:r>
      <w:r w:rsidRPr="00100028">
        <w:rPr>
          <w:rFonts w:asciiTheme="majorBidi" w:hAnsiTheme="majorBidi" w:cstheme="majorBidi"/>
          <w:sz w:val="24"/>
          <w:szCs w:val="24"/>
          <w:lang w:val="en-GB"/>
        </w:rPr>
        <w:t>.</w:t>
      </w:r>
      <w:r w:rsidR="00AE6425" w:rsidRPr="00100028">
        <w:rPr>
          <w:rStyle w:val="FootnoteReference"/>
          <w:rFonts w:asciiTheme="majorBidi" w:hAnsiTheme="majorBidi" w:cstheme="majorBidi"/>
          <w:sz w:val="24"/>
          <w:szCs w:val="24"/>
          <w:lang w:val="en-GB"/>
        </w:rPr>
        <w:footnoteReference w:id="51"/>
      </w:r>
    </w:p>
    <w:p w:rsidR="00AE6425" w:rsidRPr="00100028" w:rsidRDefault="00AE6425"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It should be noted that Jordan</w:t>
      </w:r>
      <w:r w:rsidR="00F130C3"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 xml:space="preserve">s sovereignty in the West Bank was questionable in international law since the vast majority of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s had not recognized the Jordanian annexation. The Palestine Liberation Organization, as the legal representative of the Palestinian people, has always considered the West Bank to be part of Palestine.</w:t>
      </w:r>
      <w:r w:rsidR="00AC0549" w:rsidRPr="00100028">
        <w:rPr>
          <w:rStyle w:val="FootnoteReference"/>
          <w:rFonts w:asciiTheme="majorBidi" w:hAnsiTheme="majorBidi" w:cstheme="majorBidi"/>
          <w:sz w:val="24"/>
          <w:szCs w:val="24"/>
          <w:lang w:val="en-GB"/>
        </w:rPr>
        <w:footnoteReference w:id="52"/>
      </w:r>
    </w:p>
    <w:p w:rsidR="00A52788" w:rsidRPr="00100028" w:rsidRDefault="00A52788" w:rsidP="00100028">
      <w:pPr>
        <w:bidi w:val="0"/>
        <w:jc w:val="both"/>
        <w:rPr>
          <w:rFonts w:asciiTheme="majorBidi" w:hAnsiTheme="majorBidi" w:cstheme="majorBidi"/>
          <w:sz w:val="24"/>
          <w:szCs w:val="24"/>
          <w:lang w:val="en-GB"/>
        </w:rPr>
      </w:pPr>
    </w:p>
    <w:p w:rsidR="00AE6425" w:rsidRPr="00100028" w:rsidRDefault="00FA7120"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lastRenderedPageBreak/>
        <w:t>The situation somewhat</w:t>
      </w:r>
      <w:r w:rsidR="00AE6425" w:rsidRPr="00100028">
        <w:rPr>
          <w:rFonts w:asciiTheme="majorBidi" w:hAnsiTheme="majorBidi" w:cstheme="majorBidi"/>
          <w:sz w:val="24"/>
          <w:szCs w:val="24"/>
          <w:lang w:val="en-GB"/>
        </w:rPr>
        <w:t xml:space="preserve"> changed in 1994 after the establishment of the Palestinian Authority, as we will discuss after touching upon </w:t>
      </w:r>
      <w:r w:rsidR="000A61A4" w:rsidRPr="00100028">
        <w:rPr>
          <w:rFonts w:asciiTheme="majorBidi" w:hAnsiTheme="majorBidi" w:cstheme="majorBidi"/>
          <w:sz w:val="24"/>
          <w:szCs w:val="24"/>
          <w:lang w:val="en-GB"/>
        </w:rPr>
        <w:t xml:space="preserve">the citizenship in </w:t>
      </w:r>
      <w:r w:rsidR="00DA6735" w:rsidRPr="00100028">
        <w:rPr>
          <w:rFonts w:asciiTheme="majorBidi" w:hAnsiTheme="majorBidi" w:cstheme="majorBidi"/>
          <w:sz w:val="24"/>
          <w:szCs w:val="24"/>
          <w:lang w:val="en-GB"/>
        </w:rPr>
        <w:t xml:space="preserve">pre-1994 </w:t>
      </w:r>
      <w:r w:rsidR="000A61A4" w:rsidRPr="00100028">
        <w:rPr>
          <w:rFonts w:asciiTheme="majorBidi" w:hAnsiTheme="majorBidi" w:cstheme="majorBidi"/>
          <w:sz w:val="24"/>
          <w:szCs w:val="24"/>
          <w:lang w:val="en-GB"/>
        </w:rPr>
        <w:t>Gaza</w:t>
      </w:r>
      <w:r w:rsidR="00DA6735" w:rsidRPr="00100028">
        <w:rPr>
          <w:rFonts w:asciiTheme="majorBidi" w:hAnsiTheme="majorBidi" w:cstheme="majorBidi"/>
          <w:sz w:val="24"/>
          <w:szCs w:val="24"/>
          <w:lang w:val="en-GB"/>
        </w:rPr>
        <w:t>.</w:t>
      </w:r>
    </w:p>
    <w:p w:rsidR="00AE6425" w:rsidRPr="00100028" w:rsidRDefault="00AE6425" w:rsidP="00100028">
      <w:pPr>
        <w:bidi w:val="0"/>
        <w:jc w:val="both"/>
        <w:rPr>
          <w:rFonts w:asciiTheme="majorBidi" w:hAnsiTheme="majorBidi" w:cstheme="majorBidi"/>
          <w:sz w:val="24"/>
          <w:szCs w:val="24"/>
          <w:lang w:val="en-GB"/>
        </w:rPr>
      </w:pPr>
    </w:p>
    <w:p w:rsidR="00A52788" w:rsidRPr="00100028" w:rsidRDefault="00A52788" w:rsidP="00100028">
      <w:pPr>
        <w:pStyle w:val="ListParagraph"/>
        <w:numPr>
          <w:ilvl w:val="0"/>
          <w:numId w:val="7"/>
        </w:numPr>
        <w:spacing w:after="0"/>
        <w:jc w:val="both"/>
        <w:rPr>
          <w:rFonts w:asciiTheme="majorBidi" w:hAnsiTheme="majorBidi" w:cstheme="majorBidi"/>
          <w:b/>
          <w:bCs/>
          <w:szCs w:val="24"/>
          <w:lang w:val="en-GB"/>
        </w:rPr>
      </w:pPr>
      <w:r w:rsidRPr="00100028">
        <w:rPr>
          <w:rFonts w:asciiTheme="majorBidi" w:hAnsiTheme="majorBidi" w:cstheme="majorBidi"/>
          <w:b/>
          <w:bCs/>
          <w:szCs w:val="24"/>
          <w:lang w:val="en-GB"/>
        </w:rPr>
        <w:t>Palestinians of the Gaza Strip</w:t>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This group</w:t>
      </w:r>
      <w:r w:rsidR="004F3E26" w:rsidRPr="00100028">
        <w:rPr>
          <w:rFonts w:asciiTheme="majorBidi" w:hAnsiTheme="majorBidi" w:cstheme="majorBidi"/>
          <w:sz w:val="24"/>
          <w:szCs w:val="24"/>
          <w:lang w:val="en-GB"/>
        </w:rPr>
        <w:t xml:space="preserve"> of individuals</w:t>
      </w:r>
      <w:r w:rsidR="002C650D" w:rsidRPr="00100028">
        <w:rPr>
          <w:rFonts w:asciiTheme="majorBidi" w:hAnsiTheme="majorBidi" w:cstheme="majorBidi"/>
          <w:sz w:val="24"/>
          <w:szCs w:val="24"/>
          <w:lang w:val="en-GB"/>
        </w:rPr>
        <w:t>, which numbers</w:t>
      </w:r>
      <w:r w:rsidR="00B6725E" w:rsidRPr="00100028">
        <w:rPr>
          <w:rFonts w:asciiTheme="majorBidi" w:hAnsiTheme="majorBidi" w:cstheme="majorBidi"/>
          <w:sz w:val="24"/>
          <w:szCs w:val="24"/>
          <w:lang w:val="en-GB"/>
        </w:rPr>
        <w:t xml:space="preserve"> </w:t>
      </w:r>
      <w:r w:rsidR="002C650D" w:rsidRPr="00100028">
        <w:rPr>
          <w:rFonts w:asciiTheme="majorBidi" w:hAnsiTheme="majorBidi" w:cstheme="majorBidi"/>
          <w:sz w:val="24"/>
          <w:szCs w:val="24"/>
          <w:lang w:val="en-GB"/>
        </w:rPr>
        <w:t xml:space="preserve">today </w:t>
      </w:r>
      <w:r w:rsidR="00B6725E" w:rsidRPr="00100028">
        <w:rPr>
          <w:rFonts w:asciiTheme="majorBidi" w:hAnsiTheme="majorBidi" w:cstheme="majorBidi"/>
          <w:sz w:val="24"/>
          <w:szCs w:val="24"/>
          <w:lang w:val="en-GB"/>
        </w:rPr>
        <w:t>some 1.79 mi</w:t>
      </w:r>
      <w:r w:rsidR="002C650D" w:rsidRPr="00100028">
        <w:rPr>
          <w:rFonts w:asciiTheme="majorBidi" w:hAnsiTheme="majorBidi" w:cstheme="majorBidi"/>
          <w:sz w:val="24"/>
          <w:szCs w:val="24"/>
          <w:lang w:val="en-GB"/>
        </w:rPr>
        <w:t>llion persons</w:t>
      </w:r>
      <w:r w:rsidRPr="00100028">
        <w:rPr>
          <w:rFonts w:asciiTheme="majorBidi" w:hAnsiTheme="majorBidi" w:cstheme="majorBidi"/>
          <w:sz w:val="24"/>
          <w:szCs w:val="24"/>
          <w:lang w:val="en-GB"/>
        </w:rPr>
        <w:t>,</w:t>
      </w:r>
      <w:r w:rsidR="00B6725E" w:rsidRPr="00100028">
        <w:rPr>
          <w:rStyle w:val="FootnoteReference"/>
          <w:rFonts w:asciiTheme="majorBidi" w:hAnsiTheme="majorBidi" w:cstheme="majorBidi"/>
          <w:sz w:val="24"/>
          <w:szCs w:val="24"/>
          <w:lang w:val="en-GB"/>
        </w:rPr>
        <w:footnoteReference w:id="53"/>
      </w:r>
      <w:r w:rsidR="002C650D" w:rsidRPr="00100028">
        <w:rPr>
          <w:rFonts w:asciiTheme="majorBidi" w:hAnsiTheme="majorBidi" w:cstheme="majorBidi"/>
          <w:sz w:val="24"/>
          <w:szCs w:val="24"/>
          <w:lang w:val="en-GB"/>
        </w:rPr>
        <w:t xml:space="preserve"> comprises</w:t>
      </w:r>
      <w:r w:rsidRPr="00100028">
        <w:rPr>
          <w:rFonts w:asciiTheme="majorBidi" w:hAnsiTheme="majorBidi" w:cstheme="majorBidi"/>
          <w:sz w:val="24"/>
          <w:szCs w:val="24"/>
          <w:lang w:val="en-GB"/>
        </w:rPr>
        <w:t xml:space="preserve"> inhabitants of the part of Palestine that became known as the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Gaza Strip</w:t>
      </w:r>
      <w:r w:rsidR="009F0BCE" w:rsidRPr="00100028">
        <w:rPr>
          <w:rFonts w:asciiTheme="majorBidi" w:hAnsiTheme="majorBidi" w:cstheme="majorBidi"/>
          <w:sz w:val="24"/>
          <w:szCs w:val="24"/>
          <w:lang w:val="en-GB"/>
        </w:rPr>
        <w:t>”</w:t>
      </w:r>
      <w:r w:rsidR="005C2763" w:rsidRPr="00100028">
        <w:rPr>
          <w:rStyle w:val="FootnoteReference"/>
          <w:rFonts w:asciiTheme="majorBidi" w:hAnsiTheme="majorBidi" w:cstheme="majorBidi"/>
          <w:sz w:val="24"/>
          <w:szCs w:val="24"/>
          <w:lang w:val="en-GB"/>
        </w:rPr>
        <w:footnoteReference w:id="54"/>
      </w:r>
      <w:r w:rsidRPr="00100028">
        <w:rPr>
          <w:rFonts w:asciiTheme="majorBidi" w:hAnsiTheme="majorBidi" w:cstheme="majorBidi"/>
          <w:sz w:val="24"/>
          <w:szCs w:val="24"/>
          <w:lang w:val="en-GB"/>
        </w:rPr>
        <w:t xml:space="preserve"> in 1948 when the Medi</w:t>
      </w:r>
      <w:r w:rsidR="004F3E26" w:rsidRPr="00100028">
        <w:rPr>
          <w:rFonts w:asciiTheme="majorBidi" w:hAnsiTheme="majorBidi" w:cstheme="majorBidi"/>
          <w:sz w:val="24"/>
          <w:szCs w:val="24"/>
          <w:lang w:val="en-GB"/>
        </w:rPr>
        <w:t>terranean enclave fell under Egypt</w:t>
      </w:r>
      <w:r w:rsidR="004F3E26" w:rsidRPr="00100028">
        <w:rPr>
          <w:rFonts w:asciiTheme="majorBidi" w:hAnsiTheme="majorBidi" w:cstheme="majorBidi"/>
          <w:color w:val="000000" w:themeColor="text1"/>
          <w:sz w:val="24"/>
          <w:szCs w:val="24"/>
        </w:rPr>
        <w:t>’</w:t>
      </w:r>
      <w:r w:rsidR="004F3E26" w:rsidRPr="00100028">
        <w:rPr>
          <w:rFonts w:asciiTheme="majorBidi" w:hAnsiTheme="majorBidi" w:cstheme="majorBidi"/>
          <w:sz w:val="24"/>
          <w:szCs w:val="24"/>
          <w:lang w:val="en-GB"/>
        </w:rPr>
        <w:t>s administration</w:t>
      </w:r>
      <w:r w:rsidRPr="00100028">
        <w:rPr>
          <w:rFonts w:asciiTheme="majorBidi" w:hAnsiTheme="majorBidi" w:cstheme="majorBidi"/>
          <w:sz w:val="24"/>
          <w:szCs w:val="24"/>
          <w:lang w:val="en-GB"/>
        </w:rPr>
        <w:t>.</w:t>
      </w:r>
      <w:r w:rsidR="00B6725E" w:rsidRPr="00100028">
        <w:rPr>
          <w:rStyle w:val="FootnoteReference"/>
          <w:rFonts w:asciiTheme="majorBidi" w:hAnsiTheme="majorBidi" w:cstheme="majorBidi"/>
          <w:sz w:val="24"/>
          <w:szCs w:val="24"/>
          <w:lang w:val="en-GB"/>
        </w:rPr>
        <w:footnoteReference w:id="55"/>
      </w:r>
    </w:p>
    <w:p w:rsidR="00B6725E" w:rsidRPr="00100028" w:rsidRDefault="00B6725E" w:rsidP="00100028">
      <w:pPr>
        <w:bidi w:val="0"/>
        <w:jc w:val="both"/>
        <w:rPr>
          <w:rFonts w:asciiTheme="majorBidi" w:hAnsiTheme="majorBidi" w:cstheme="majorBidi"/>
          <w:b/>
          <w:bCs/>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Although the Gaza Strip constitutes with the West Bank the Palestinian territory</w:t>
      </w:r>
      <w:r w:rsidR="004971CF" w:rsidRPr="00100028">
        <w:rPr>
          <w:rFonts w:asciiTheme="majorBidi" w:hAnsiTheme="majorBidi" w:cstheme="majorBidi"/>
          <w:sz w:val="24"/>
          <w:szCs w:val="24"/>
          <w:lang w:val="en-GB"/>
        </w:rPr>
        <w:t xml:space="preserve"> occupied in 1967,</w:t>
      </w:r>
      <w:r w:rsidR="004971CF" w:rsidRPr="00100028">
        <w:rPr>
          <w:rStyle w:val="FootnoteReference"/>
          <w:rFonts w:asciiTheme="majorBidi" w:hAnsiTheme="majorBidi" w:cstheme="majorBidi"/>
          <w:sz w:val="24"/>
          <w:szCs w:val="24"/>
          <w:lang w:val="en-GB"/>
        </w:rPr>
        <w:footnoteReference w:id="56"/>
      </w:r>
      <w:r w:rsidR="005C2763" w:rsidRPr="00100028">
        <w:rPr>
          <w:rFonts w:asciiTheme="majorBidi" w:hAnsiTheme="majorBidi" w:cstheme="majorBidi"/>
          <w:sz w:val="24"/>
          <w:szCs w:val="24"/>
          <w:lang w:val="en-GB"/>
        </w:rPr>
        <w:t xml:space="preserve"> Gaza</w:t>
      </w:r>
      <w:r w:rsidR="004971CF" w:rsidRPr="00100028">
        <w:rPr>
          <w:rFonts w:asciiTheme="majorBidi" w:hAnsiTheme="majorBidi" w:cstheme="majorBidi"/>
          <w:sz w:val="24"/>
          <w:szCs w:val="24"/>
          <w:lang w:val="en-GB"/>
        </w:rPr>
        <w:t xml:space="preserve"> has developed since 1948</w:t>
      </w:r>
      <w:r w:rsidRPr="00100028">
        <w:rPr>
          <w:rFonts w:asciiTheme="majorBidi" w:hAnsiTheme="majorBidi" w:cstheme="majorBidi"/>
          <w:sz w:val="24"/>
          <w:szCs w:val="24"/>
          <w:lang w:val="en-GB"/>
        </w:rPr>
        <w:t xml:space="preserve"> a separate p</w:t>
      </w:r>
      <w:r w:rsidR="004971CF" w:rsidRPr="00100028">
        <w:rPr>
          <w:rFonts w:asciiTheme="majorBidi" w:hAnsiTheme="majorBidi" w:cstheme="majorBidi"/>
          <w:sz w:val="24"/>
          <w:szCs w:val="24"/>
          <w:lang w:val="en-GB"/>
        </w:rPr>
        <w:t>olitical and social character</w:t>
      </w:r>
      <w:r w:rsidRPr="00100028">
        <w:rPr>
          <w:rFonts w:asciiTheme="majorBidi" w:hAnsiTheme="majorBidi" w:cstheme="majorBidi"/>
          <w:sz w:val="24"/>
          <w:szCs w:val="24"/>
          <w:lang w:val="en-GB"/>
        </w:rPr>
        <w:t>. This character produced certa</w:t>
      </w:r>
      <w:r w:rsidR="005C2763" w:rsidRPr="00100028">
        <w:rPr>
          <w:rFonts w:asciiTheme="majorBidi" w:hAnsiTheme="majorBidi" w:cstheme="majorBidi"/>
          <w:sz w:val="24"/>
          <w:szCs w:val="24"/>
          <w:lang w:val="en-GB"/>
        </w:rPr>
        <w:t>in legal effects. Gaza</w:t>
      </w:r>
      <w:r w:rsidRPr="00100028">
        <w:rPr>
          <w:rFonts w:asciiTheme="majorBidi" w:hAnsiTheme="majorBidi" w:cstheme="majorBidi"/>
          <w:sz w:val="24"/>
          <w:szCs w:val="24"/>
          <w:lang w:val="en-GB"/>
        </w:rPr>
        <w:t>, like the rest of Palestine, was occupied by Britain from 9 December 1917</w:t>
      </w:r>
      <w:r w:rsidR="00B6725E" w:rsidRPr="00100028">
        <w:rPr>
          <w:rFonts w:asciiTheme="majorBidi" w:hAnsiTheme="majorBidi" w:cstheme="majorBidi"/>
          <w:sz w:val="24"/>
          <w:szCs w:val="24"/>
          <w:lang w:val="en-GB"/>
        </w:rPr>
        <w:t xml:space="preserve"> </w:t>
      </w:r>
      <w:r w:rsidRPr="00100028">
        <w:rPr>
          <w:rFonts w:asciiTheme="majorBidi" w:hAnsiTheme="majorBidi" w:cstheme="majorBidi"/>
          <w:sz w:val="24"/>
          <w:szCs w:val="24"/>
          <w:lang w:val="en-GB"/>
        </w:rPr>
        <w:t>and remained under the Mandate until 14 May 1948. During its war with Israel, Egypt occupied the territory that has become kn</w:t>
      </w:r>
      <w:r w:rsidR="00E360D8" w:rsidRPr="00100028">
        <w:rPr>
          <w:rFonts w:asciiTheme="majorBidi" w:hAnsiTheme="majorBidi" w:cstheme="majorBidi"/>
          <w:sz w:val="24"/>
          <w:szCs w:val="24"/>
          <w:lang w:val="en-GB"/>
        </w:rPr>
        <w:t>own as the Gaza Strip, which</w:t>
      </w:r>
      <w:r w:rsidRPr="00100028">
        <w:rPr>
          <w:rFonts w:asciiTheme="majorBidi" w:hAnsiTheme="majorBidi" w:cstheme="majorBidi"/>
          <w:sz w:val="24"/>
          <w:szCs w:val="24"/>
          <w:lang w:val="en-GB"/>
        </w:rPr>
        <w:t xml:space="preserve"> emerged within its current borders with Egypt and Israel after the signing of the armistice agre</w:t>
      </w:r>
      <w:r w:rsidR="007640BA" w:rsidRPr="00100028">
        <w:rPr>
          <w:rFonts w:asciiTheme="majorBidi" w:hAnsiTheme="majorBidi" w:cstheme="majorBidi"/>
          <w:sz w:val="24"/>
          <w:szCs w:val="24"/>
          <w:lang w:val="en-GB"/>
        </w:rPr>
        <w:t>ement between Egypt and Israel o</w:t>
      </w:r>
      <w:r w:rsidRPr="00100028">
        <w:rPr>
          <w:rFonts w:asciiTheme="majorBidi" w:hAnsiTheme="majorBidi" w:cstheme="majorBidi"/>
          <w:sz w:val="24"/>
          <w:szCs w:val="24"/>
          <w:lang w:val="en-GB"/>
        </w:rPr>
        <w:t xml:space="preserve">n </w:t>
      </w:r>
      <w:r w:rsidR="007640BA" w:rsidRPr="00100028">
        <w:rPr>
          <w:rFonts w:asciiTheme="majorBidi" w:hAnsiTheme="majorBidi" w:cstheme="majorBidi"/>
          <w:sz w:val="24"/>
          <w:szCs w:val="24"/>
          <w:lang w:val="en-GB"/>
        </w:rPr>
        <w:t xml:space="preserve">24 February </w:t>
      </w:r>
      <w:r w:rsidRPr="00100028">
        <w:rPr>
          <w:rFonts w:asciiTheme="majorBidi" w:hAnsiTheme="majorBidi" w:cstheme="majorBidi"/>
          <w:sz w:val="24"/>
          <w:szCs w:val="24"/>
          <w:lang w:val="en-GB"/>
        </w:rPr>
        <w:t>1949.</w:t>
      </w:r>
      <w:r w:rsidR="005C2763" w:rsidRPr="00100028">
        <w:rPr>
          <w:rStyle w:val="FootnoteReference"/>
          <w:rFonts w:asciiTheme="majorBidi" w:hAnsiTheme="majorBidi" w:cstheme="majorBidi"/>
          <w:sz w:val="24"/>
          <w:szCs w:val="24"/>
          <w:lang w:val="en-GB"/>
        </w:rPr>
        <w:footnoteReference w:id="57"/>
      </w:r>
      <w:r w:rsidRPr="00100028">
        <w:rPr>
          <w:rFonts w:asciiTheme="majorBidi" w:hAnsiTheme="majorBidi" w:cstheme="majorBidi"/>
          <w:sz w:val="24"/>
          <w:szCs w:val="24"/>
          <w:lang w:val="en-GB"/>
        </w:rPr>
        <w:t xml:space="preserve"> </w:t>
      </w:r>
      <w:r w:rsidR="00E360D8" w:rsidRPr="00100028">
        <w:rPr>
          <w:rFonts w:asciiTheme="majorBidi" w:hAnsiTheme="majorBidi" w:cstheme="majorBidi"/>
          <w:sz w:val="24"/>
          <w:szCs w:val="24"/>
          <w:lang w:val="en-GB"/>
        </w:rPr>
        <w:t xml:space="preserve">Unlike what Jordan had done in the West Bank, </w:t>
      </w:r>
      <w:r w:rsidRPr="00100028">
        <w:rPr>
          <w:rFonts w:asciiTheme="majorBidi" w:hAnsiTheme="majorBidi" w:cstheme="majorBidi"/>
          <w:sz w:val="24"/>
          <w:szCs w:val="24"/>
          <w:lang w:val="en-GB"/>
        </w:rPr>
        <w:t>Egypt retained it</w:t>
      </w:r>
      <w:r w:rsidR="00E360D8" w:rsidRPr="00100028">
        <w:rPr>
          <w:rFonts w:asciiTheme="majorBidi" w:hAnsiTheme="majorBidi" w:cstheme="majorBidi"/>
          <w:sz w:val="24"/>
          <w:szCs w:val="24"/>
          <w:lang w:val="en-GB"/>
        </w:rPr>
        <w:t>s military administration of Gaza</w:t>
      </w:r>
      <w:r w:rsidRPr="00100028">
        <w:rPr>
          <w:rFonts w:asciiTheme="majorBidi" w:hAnsiTheme="majorBidi" w:cstheme="majorBidi"/>
          <w:sz w:val="24"/>
          <w:szCs w:val="24"/>
          <w:lang w:val="en-GB"/>
        </w:rPr>
        <w:t xml:space="preserve"> without annexing it until 1967. In June of that year</w:t>
      </w:r>
      <w:r w:rsidR="00E360D8" w:rsidRPr="00100028">
        <w:rPr>
          <w:rFonts w:asciiTheme="majorBidi" w:hAnsiTheme="majorBidi" w:cstheme="majorBidi"/>
          <w:sz w:val="24"/>
          <w:szCs w:val="24"/>
          <w:lang w:val="en-GB"/>
        </w:rPr>
        <w:t>, Isr</w:t>
      </w:r>
      <w:r w:rsidR="009140E3" w:rsidRPr="00100028">
        <w:rPr>
          <w:rFonts w:asciiTheme="majorBidi" w:hAnsiTheme="majorBidi" w:cstheme="majorBidi"/>
          <w:sz w:val="24"/>
          <w:szCs w:val="24"/>
          <w:lang w:val="en-GB"/>
        </w:rPr>
        <w:t>ael occupied</w:t>
      </w:r>
      <w:r w:rsidR="00E360D8" w:rsidRPr="00100028">
        <w:rPr>
          <w:rFonts w:asciiTheme="majorBidi" w:hAnsiTheme="majorBidi" w:cstheme="majorBidi"/>
          <w:sz w:val="24"/>
          <w:szCs w:val="24"/>
          <w:lang w:val="en-GB"/>
        </w:rPr>
        <w:t xml:space="preserve"> Gaza</w:t>
      </w:r>
      <w:r w:rsidRPr="00100028">
        <w:rPr>
          <w:rFonts w:asciiTheme="majorBidi" w:hAnsiTheme="majorBidi" w:cstheme="majorBidi"/>
          <w:sz w:val="24"/>
          <w:szCs w:val="24"/>
          <w:lang w:val="en-GB"/>
        </w:rPr>
        <w:t xml:space="preserve"> and continued controlling it </w:t>
      </w:r>
      <w:r w:rsidR="00E360D8" w:rsidRPr="00100028">
        <w:rPr>
          <w:rFonts w:asciiTheme="majorBidi" w:hAnsiTheme="majorBidi" w:cstheme="majorBidi"/>
          <w:sz w:val="24"/>
          <w:szCs w:val="24"/>
          <w:lang w:val="en-GB"/>
        </w:rPr>
        <w:t xml:space="preserve">directly </w:t>
      </w:r>
      <w:r w:rsidRPr="00100028">
        <w:rPr>
          <w:rFonts w:asciiTheme="majorBidi" w:hAnsiTheme="majorBidi" w:cstheme="majorBidi"/>
          <w:sz w:val="24"/>
          <w:szCs w:val="24"/>
          <w:lang w:val="en-GB"/>
        </w:rPr>
        <w:t>until 1994 after the signing of the Oslo agreement with the Palestine Liberation Organization.</w:t>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B6725E" w:rsidP="00100028">
      <w:pPr>
        <w:bidi w:val="0"/>
        <w:jc w:val="both"/>
        <w:rPr>
          <w:rFonts w:asciiTheme="majorBidi" w:hAnsiTheme="majorBidi" w:cstheme="majorBidi"/>
          <w:color w:val="000000"/>
          <w:sz w:val="24"/>
          <w:szCs w:val="24"/>
          <w:lang w:val="en-GB"/>
        </w:rPr>
      </w:pPr>
      <w:r w:rsidRPr="00100028">
        <w:rPr>
          <w:rFonts w:asciiTheme="majorBidi" w:hAnsiTheme="majorBidi" w:cstheme="majorBidi"/>
          <w:color w:val="000000"/>
          <w:sz w:val="24"/>
          <w:szCs w:val="24"/>
          <w:lang w:val="en-GB"/>
        </w:rPr>
        <w:t>Citizenship</w:t>
      </w:r>
      <w:r w:rsidR="00C007A2" w:rsidRPr="00100028">
        <w:rPr>
          <w:rFonts w:asciiTheme="majorBidi" w:hAnsiTheme="majorBidi" w:cstheme="majorBidi"/>
          <w:color w:val="000000"/>
          <w:sz w:val="24"/>
          <w:szCs w:val="24"/>
          <w:lang w:val="en-GB"/>
        </w:rPr>
        <w:t xml:space="preserve"> in Gaza</w:t>
      </w:r>
      <w:r w:rsidR="00A52788" w:rsidRPr="00100028">
        <w:rPr>
          <w:rFonts w:asciiTheme="majorBidi" w:hAnsiTheme="majorBidi" w:cstheme="majorBidi"/>
          <w:color w:val="000000"/>
          <w:sz w:val="24"/>
          <w:szCs w:val="24"/>
          <w:lang w:val="en-GB"/>
        </w:rPr>
        <w:t xml:space="preserve"> under Egyptian administration (1948-1967) had a particular, de facto, charact</w:t>
      </w:r>
      <w:r w:rsidR="00C007A2" w:rsidRPr="00100028">
        <w:rPr>
          <w:rFonts w:asciiTheme="majorBidi" w:hAnsiTheme="majorBidi" w:cstheme="majorBidi"/>
          <w:color w:val="000000"/>
          <w:sz w:val="24"/>
          <w:szCs w:val="24"/>
          <w:lang w:val="en-GB"/>
        </w:rPr>
        <w:t>er. As E</w:t>
      </w:r>
      <w:r w:rsidR="00A13C4E" w:rsidRPr="00100028">
        <w:rPr>
          <w:rFonts w:asciiTheme="majorBidi" w:hAnsiTheme="majorBidi" w:cstheme="majorBidi"/>
          <w:color w:val="000000"/>
          <w:sz w:val="24"/>
          <w:szCs w:val="24"/>
          <w:lang w:val="en-GB"/>
        </w:rPr>
        <w:t>gypt had not annexed Gaza</w:t>
      </w:r>
      <w:r w:rsidR="00C007A2" w:rsidRPr="00100028">
        <w:rPr>
          <w:rFonts w:asciiTheme="majorBidi" w:hAnsiTheme="majorBidi" w:cstheme="majorBidi"/>
          <w:color w:val="000000"/>
          <w:sz w:val="24"/>
          <w:szCs w:val="24"/>
          <w:lang w:val="en-GB"/>
        </w:rPr>
        <w:t>, Gaza</w:t>
      </w:r>
      <w:r w:rsidR="00F130C3" w:rsidRPr="00100028">
        <w:rPr>
          <w:rFonts w:asciiTheme="majorBidi" w:hAnsiTheme="majorBidi" w:cstheme="majorBidi"/>
          <w:color w:val="000000"/>
          <w:sz w:val="24"/>
          <w:szCs w:val="24"/>
          <w:lang w:val="en-GB"/>
        </w:rPr>
        <w:t>’</w:t>
      </w:r>
      <w:r w:rsidR="00A52788" w:rsidRPr="00100028">
        <w:rPr>
          <w:rFonts w:asciiTheme="majorBidi" w:hAnsiTheme="majorBidi" w:cstheme="majorBidi"/>
          <w:color w:val="000000"/>
          <w:sz w:val="24"/>
          <w:szCs w:val="24"/>
          <w:lang w:val="en-GB"/>
        </w:rPr>
        <w:t xml:space="preserve">s inhabitants retained a form of Palestinian </w:t>
      </w:r>
      <w:r w:rsidR="003B4898" w:rsidRPr="00100028">
        <w:rPr>
          <w:rFonts w:asciiTheme="majorBidi" w:hAnsiTheme="majorBidi" w:cstheme="majorBidi"/>
          <w:color w:val="000000"/>
          <w:sz w:val="24"/>
          <w:szCs w:val="24"/>
          <w:lang w:val="en-GB"/>
        </w:rPr>
        <w:t>citizenship</w:t>
      </w:r>
      <w:r w:rsidR="00A52788" w:rsidRPr="00100028">
        <w:rPr>
          <w:rFonts w:asciiTheme="majorBidi" w:hAnsiTheme="majorBidi" w:cstheme="majorBidi"/>
          <w:color w:val="000000"/>
          <w:sz w:val="24"/>
          <w:szCs w:val="24"/>
          <w:lang w:val="en-GB"/>
        </w:rPr>
        <w:t xml:space="preserve">, comparable to the </w:t>
      </w:r>
      <w:r w:rsidR="003B4898" w:rsidRPr="00100028">
        <w:rPr>
          <w:rFonts w:asciiTheme="majorBidi" w:hAnsiTheme="majorBidi" w:cstheme="majorBidi"/>
          <w:color w:val="000000"/>
          <w:sz w:val="24"/>
          <w:szCs w:val="24"/>
          <w:lang w:val="en-GB"/>
        </w:rPr>
        <w:t>citizenship</w:t>
      </w:r>
      <w:r w:rsidR="00A52788" w:rsidRPr="00100028">
        <w:rPr>
          <w:rFonts w:asciiTheme="majorBidi" w:hAnsiTheme="majorBidi" w:cstheme="majorBidi"/>
          <w:color w:val="000000"/>
          <w:sz w:val="24"/>
          <w:szCs w:val="24"/>
          <w:lang w:val="en-GB"/>
        </w:rPr>
        <w:t xml:space="preserve"> that existed under </w:t>
      </w:r>
      <w:r w:rsidR="00A13C4E" w:rsidRPr="00100028">
        <w:rPr>
          <w:rFonts w:asciiTheme="majorBidi" w:hAnsiTheme="majorBidi" w:cstheme="majorBidi"/>
          <w:color w:val="000000"/>
          <w:sz w:val="24"/>
          <w:szCs w:val="24"/>
          <w:lang w:val="en-GB"/>
        </w:rPr>
        <w:t xml:space="preserve">the </w:t>
      </w:r>
      <w:r w:rsidR="00A52788" w:rsidRPr="00100028">
        <w:rPr>
          <w:rFonts w:asciiTheme="majorBidi" w:hAnsiTheme="majorBidi" w:cstheme="majorBidi"/>
          <w:color w:val="000000"/>
          <w:sz w:val="24"/>
          <w:szCs w:val="24"/>
          <w:lang w:val="en-GB"/>
        </w:rPr>
        <w:t>British rule in Palestine as described above.</w:t>
      </w:r>
      <w:r w:rsidR="00E77D30" w:rsidRPr="00100028">
        <w:rPr>
          <w:rStyle w:val="FootnoteReference"/>
          <w:rFonts w:asciiTheme="majorBidi" w:hAnsiTheme="majorBidi" w:cstheme="majorBidi"/>
          <w:color w:val="000000"/>
          <w:sz w:val="24"/>
          <w:szCs w:val="24"/>
          <w:lang w:val="en-GB"/>
        </w:rPr>
        <w:footnoteReference w:id="58"/>
      </w:r>
      <w:r w:rsidR="00A52788" w:rsidRPr="00100028">
        <w:rPr>
          <w:rFonts w:asciiTheme="majorBidi" w:hAnsiTheme="majorBidi" w:cstheme="majorBidi"/>
          <w:color w:val="000000"/>
          <w:sz w:val="24"/>
          <w:szCs w:val="24"/>
          <w:lang w:val="en-GB"/>
        </w:rPr>
        <w:t xml:space="preserve"> The Palestinian Citizenship Order of 1925 continued to be applicable and the Gaza government set up by Egypt treated the inhabitants as Palestinian citizens. Although Egypt granted tr</w:t>
      </w:r>
      <w:r w:rsidR="00C007A2" w:rsidRPr="00100028">
        <w:rPr>
          <w:rFonts w:asciiTheme="majorBidi" w:hAnsiTheme="majorBidi" w:cstheme="majorBidi"/>
          <w:color w:val="000000"/>
          <w:sz w:val="24"/>
          <w:szCs w:val="24"/>
          <w:lang w:val="en-GB"/>
        </w:rPr>
        <w:t>avel documents to them, Gazans</w:t>
      </w:r>
      <w:r w:rsidR="00A52788" w:rsidRPr="00100028">
        <w:rPr>
          <w:rFonts w:asciiTheme="majorBidi" w:hAnsiTheme="majorBidi" w:cstheme="majorBidi"/>
          <w:color w:val="000000"/>
          <w:sz w:val="24"/>
          <w:szCs w:val="24"/>
          <w:lang w:val="en-GB"/>
        </w:rPr>
        <w:t xml:space="preserve"> needed </w:t>
      </w:r>
      <w:r w:rsidR="00A52788" w:rsidRPr="00100028">
        <w:rPr>
          <w:rFonts w:asciiTheme="majorBidi" w:hAnsiTheme="majorBidi" w:cstheme="majorBidi"/>
          <w:bCs/>
          <w:color w:val="000000"/>
          <w:sz w:val="24"/>
          <w:szCs w:val="24"/>
          <w:lang w:val="en-GB"/>
        </w:rPr>
        <w:t xml:space="preserve">a </w:t>
      </w:r>
      <w:r w:rsidR="00A13C4E" w:rsidRPr="00100028">
        <w:rPr>
          <w:rFonts w:asciiTheme="majorBidi" w:hAnsiTheme="majorBidi" w:cstheme="majorBidi"/>
          <w:color w:val="000000"/>
          <w:sz w:val="24"/>
          <w:szCs w:val="24"/>
          <w:lang w:val="en-GB"/>
        </w:rPr>
        <w:t>visa to land in</w:t>
      </w:r>
      <w:r w:rsidR="00A52788" w:rsidRPr="00100028">
        <w:rPr>
          <w:rFonts w:asciiTheme="majorBidi" w:hAnsiTheme="majorBidi" w:cstheme="majorBidi"/>
          <w:color w:val="000000"/>
          <w:sz w:val="24"/>
          <w:szCs w:val="24"/>
          <w:lang w:val="en-GB"/>
        </w:rPr>
        <w:t xml:space="preserve"> Egypt. At the time, persons could retain and recover Palestinian </w:t>
      </w:r>
      <w:r w:rsidR="003B4898" w:rsidRPr="00100028">
        <w:rPr>
          <w:rFonts w:asciiTheme="majorBidi" w:hAnsiTheme="majorBidi" w:cstheme="majorBidi"/>
          <w:color w:val="000000"/>
          <w:sz w:val="24"/>
          <w:szCs w:val="24"/>
          <w:lang w:val="en-GB"/>
        </w:rPr>
        <w:t>citizenship</w:t>
      </w:r>
      <w:r w:rsidR="00A13C4E" w:rsidRPr="00100028">
        <w:rPr>
          <w:rFonts w:asciiTheme="majorBidi" w:hAnsiTheme="majorBidi" w:cstheme="majorBidi"/>
          <w:color w:val="000000"/>
          <w:sz w:val="24"/>
          <w:szCs w:val="24"/>
          <w:lang w:val="en-GB"/>
        </w:rPr>
        <w:t xml:space="preserve"> in Gaza</w:t>
      </w:r>
      <w:r w:rsidR="00A52788" w:rsidRPr="00100028">
        <w:rPr>
          <w:rFonts w:asciiTheme="majorBidi" w:hAnsiTheme="majorBidi" w:cstheme="majorBidi"/>
          <w:color w:val="000000"/>
          <w:sz w:val="24"/>
          <w:szCs w:val="24"/>
          <w:lang w:val="en-GB"/>
        </w:rPr>
        <w:t xml:space="preserve">. Acquisition of Palestinian </w:t>
      </w:r>
      <w:r w:rsidR="003B4898" w:rsidRPr="00100028">
        <w:rPr>
          <w:rFonts w:asciiTheme="majorBidi" w:hAnsiTheme="majorBidi" w:cstheme="majorBidi"/>
          <w:color w:val="000000"/>
          <w:sz w:val="24"/>
          <w:szCs w:val="24"/>
          <w:lang w:val="en-GB"/>
        </w:rPr>
        <w:t>citizenship</w:t>
      </w:r>
      <w:r w:rsidR="00A52788" w:rsidRPr="00100028">
        <w:rPr>
          <w:rFonts w:asciiTheme="majorBidi" w:hAnsiTheme="majorBidi" w:cstheme="majorBidi"/>
          <w:color w:val="000000"/>
          <w:sz w:val="24"/>
          <w:szCs w:val="24"/>
          <w:lang w:val="en-GB"/>
        </w:rPr>
        <w:t xml:space="preserve"> by naturalization was</w:t>
      </w:r>
      <w:r w:rsidR="00A52788" w:rsidRPr="00100028">
        <w:rPr>
          <w:rFonts w:asciiTheme="majorBidi" w:hAnsiTheme="majorBidi" w:cstheme="majorBidi"/>
          <w:bCs/>
          <w:color w:val="000000"/>
          <w:sz w:val="24"/>
          <w:szCs w:val="24"/>
          <w:lang w:val="en-GB"/>
        </w:rPr>
        <w:t xml:space="preserve"> </w:t>
      </w:r>
      <w:r w:rsidR="00A52788" w:rsidRPr="00100028">
        <w:rPr>
          <w:rFonts w:asciiTheme="majorBidi" w:hAnsiTheme="majorBidi" w:cstheme="majorBidi"/>
          <w:color w:val="000000"/>
          <w:sz w:val="24"/>
          <w:szCs w:val="24"/>
          <w:lang w:val="en-GB"/>
        </w:rPr>
        <w:t xml:space="preserve">possible too. For example, a non-Palestinian woman who married a Palestinian man residing in Gaza could acquire </w:t>
      </w:r>
      <w:r w:rsidR="00C007A2" w:rsidRPr="00100028">
        <w:rPr>
          <w:rFonts w:asciiTheme="majorBidi" w:hAnsiTheme="majorBidi" w:cstheme="majorBidi"/>
          <w:color w:val="000000"/>
          <w:sz w:val="24"/>
          <w:szCs w:val="24"/>
          <w:lang w:val="en-GB"/>
        </w:rPr>
        <w:t>permanent residency in Gaza</w:t>
      </w:r>
      <w:r w:rsidR="00A52788" w:rsidRPr="00100028">
        <w:rPr>
          <w:rFonts w:asciiTheme="majorBidi" w:hAnsiTheme="majorBidi" w:cstheme="majorBidi"/>
          <w:color w:val="000000"/>
          <w:sz w:val="24"/>
          <w:szCs w:val="24"/>
          <w:lang w:val="en-GB"/>
        </w:rPr>
        <w:t xml:space="preserve"> and would be registered as a Palestinian citizen naturalized by marriage, as demonstrated by naturalization decisions published in the </w:t>
      </w:r>
      <w:r w:rsidR="00A52788" w:rsidRPr="00100028">
        <w:rPr>
          <w:rFonts w:asciiTheme="majorBidi" w:hAnsiTheme="majorBidi" w:cstheme="majorBidi"/>
          <w:i/>
          <w:iCs/>
          <w:color w:val="000000"/>
          <w:sz w:val="24"/>
          <w:szCs w:val="24"/>
          <w:lang w:val="en-GB"/>
        </w:rPr>
        <w:t>Palestine Gazette</w:t>
      </w:r>
      <w:r w:rsidR="00A52788" w:rsidRPr="00100028">
        <w:rPr>
          <w:rFonts w:asciiTheme="majorBidi" w:hAnsiTheme="majorBidi" w:cstheme="majorBidi"/>
          <w:color w:val="000000"/>
          <w:sz w:val="24"/>
          <w:szCs w:val="24"/>
          <w:lang w:val="en-GB"/>
        </w:rPr>
        <w:t>, the official journal of the Egypt-run government of Gaza.</w:t>
      </w:r>
      <w:r w:rsidR="00C007A2" w:rsidRPr="00100028">
        <w:rPr>
          <w:rStyle w:val="FootnoteReference"/>
          <w:rFonts w:asciiTheme="majorBidi" w:hAnsiTheme="majorBidi" w:cstheme="majorBidi"/>
          <w:color w:val="000000"/>
          <w:sz w:val="24"/>
          <w:szCs w:val="24"/>
          <w:lang w:val="en-GB"/>
        </w:rPr>
        <w:footnoteReference w:id="59"/>
      </w:r>
      <w:r w:rsidR="00A52788" w:rsidRPr="00100028">
        <w:rPr>
          <w:rFonts w:asciiTheme="majorBidi" w:hAnsiTheme="majorBidi" w:cstheme="majorBidi"/>
          <w:color w:val="000000"/>
          <w:sz w:val="24"/>
          <w:szCs w:val="24"/>
          <w:lang w:val="en-GB"/>
        </w:rPr>
        <w:t xml:space="preserve"> </w:t>
      </w:r>
      <w:r w:rsidR="003B4898" w:rsidRPr="00100028">
        <w:rPr>
          <w:rFonts w:asciiTheme="majorBidi" w:hAnsiTheme="majorBidi" w:cstheme="majorBidi"/>
          <w:color w:val="000000"/>
          <w:sz w:val="24"/>
          <w:szCs w:val="24"/>
          <w:lang w:val="en-GB"/>
        </w:rPr>
        <w:t>Citizenship</w:t>
      </w:r>
      <w:r w:rsidR="0042740E" w:rsidRPr="00100028">
        <w:rPr>
          <w:rFonts w:asciiTheme="majorBidi" w:hAnsiTheme="majorBidi" w:cstheme="majorBidi"/>
          <w:color w:val="000000"/>
          <w:sz w:val="24"/>
          <w:szCs w:val="24"/>
          <w:lang w:val="en-GB"/>
        </w:rPr>
        <w:t xml:space="preserve"> was</w:t>
      </w:r>
      <w:r w:rsidR="00A52788" w:rsidRPr="00100028">
        <w:rPr>
          <w:rFonts w:asciiTheme="majorBidi" w:hAnsiTheme="majorBidi" w:cstheme="majorBidi"/>
          <w:color w:val="000000"/>
          <w:sz w:val="24"/>
          <w:szCs w:val="24"/>
          <w:lang w:val="en-GB"/>
        </w:rPr>
        <w:t xml:space="preserve"> accorded to persons who had been residing abroad </w:t>
      </w:r>
      <w:r w:rsidR="00A52788" w:rsidRPr="00100028">
        <w:rPr>
          <w:rFonts w:asciiTheme="majorBidi" w:hAnsiTheme="majorBidi" w:cstheme="majorBidi"/>
          <w:bCs/>
          <w:color w:val="000000"/>
          <w:sz w:val="24"/>
          <w:szCs w:val="24"/>
          <w:lang w:val="en-GB"/>
        </w:rPr>
        <w:t>and returned</w:t>
      </w:r>
      <w:r w:rsidR="00C007A2" w:rsidRPr="00100028">
        <w:rPr>
          <w:rFonts w:asciiTheme="majorBidi" w:hAnsiTheme="majorBidi" w:cstheme="majorBidi"/>
          <w:color w:val="000000"/>
          <w:sz w:val="24"/>
          <w:szCs w:val="24"/>
          <w:lang w:val="en-GB"/>
        </w:rPr>
        <w:t xml:space="preserve"> to Gaza</w:t>
      </w:r>
      <w:r w:rsidR="0042740E" w:rsidRPr="00100028">
        <w:rPr>
          <w:rFonts w:asciiTheme="majorBidi" w:hAnsiTheme="majorBidi" w:cstheme="majorBidi"/>
          <w:color w:val="000000"/>
          <w:sz w:val="24"/>
          <w:szCs w:val="24"/>
          <w:lang w:val="en-GB"/>
        </w:rPr>
        <w:t>. Such persons</w:t>
      </w:r>
      <w:r w:rsidR="00A52788" w:rsidRPr="00100028">
        <w:rPr>
          <w:rFonts w:asciiTheme="majorBidi" w:hAnsiTheme="majorBidi" w:cstheme="majorBidi"/>
          <w:color w:val="000000"/>
          <w:sz w:val="24"/>
          <w:szCs w:val="24"/>
          <w:lang w:val="en-GB"/>
        </w:rPr>
        <w:t xml:space="preserve"> were obliged to renou</w:t>
      </w:r>
      <w:r w:rsidR="0042740E" w:rsidRPr="00100028">
        <w:rPr>
          <w:rFonts w:asciiTheme="majorBidi" w:hAnsiTheme="majorBidi" w:cstheme="majorBidi"/>
          <w:color w:val="000000"/>
          <w:sz w:val="24"/>
          <w:szCs w:val="24"/>
          <w:lang w:val="en-GB"/>
        </w:rPr>
        <w:t xml:space="preserve">nce </w:t>
      </w:r>
      <w:r w:rsidR="0042740E" w:rsidRPr="00100028">
        <w:rPr>
          <w:rFonts w:asciiTheme="majorBidi" w:hAnsiTheme="majorBidi" w:cstheme="majorBidi"/>
          <w:color w:val="000000"/>
          <w:sz w:val="24"/>
          <w:szCs w:val="24"/>
          <w:lang w:val="en-GB"/>
        </w:rPr>
        <w:lastRenderedPageBreak/>
        <w:t>their other citizenships</w:t>
      </w:r>
      <w:r w:rsidR="00A52788" w:rsidRPr="00100028">
        <w:rPr>
          <w:rFonts w:asciiTheme="majorBidi" w:hAnsiTheme="majorBidi" w:cstheme="majorBidi"/>
          <w:color w:val="000000"/>
          <w:sz w:val="24"/>
          <w:szCs w:val="24"/>
          <w:lang w:val="en-GB"/>
        </w:rPr>
        <w:t xml:space="preserve"> as a </w:t>
      </w:r>
      <w:r w:rsidR="0042740E" w:rsidRPr="00100028">
        <w:rPr>
          <w:rFonts w:asciiTheme="majorBidi" w:hAnsiTheme="majorBidi" w:cstheme="majorBidi"/>
          <w:color w:val="000000"/>
          <w:sz w:val="24"/>
          <w:szCs w:val="24"/>
          <w:lang w:val="en-GB"/>
        </w:rPr>
        <w:t>pre-</w:t>
      </w:r>
      <w:r w:rsidR="00A52788" w:rsidRPr="00100028">
        <w:rPr>
          <w:rFonts w:asciiTheme="majorBidi" w:hAnsiTheme="majorBidi" w:cstheme="majorBidi"/>
          <w:color w:val="000000"/>
          <w:sz w:val="24"/>
          <w:szCs w:val="24"/>
          <w:lang w:val="en-GB"/>
        </w:rPr>
        <w:t>condition for obtaining Palestinian</w:t>
      </w:r>
      <w:r w:rsidR="0042740E" w:rsidRPr="00100028">
        <w:rPr>
          <w:rFonts w:asciiTheme="majorBidi" w:hAnsiTheme="majorBidi" w:cstheme="majorBidi"/>
          <w:color w:val="000000"/>
          <w:sz w:val="24"/>
          <w:szCs w:val="24"/>
          <w:lang w:val="en-GB"/>
        </w:rPr>
        <w:t>/Gaza</w:t>
      </w:r>
      <w:r w:rsidR="00A52788" w:rsidRPr="00100028">
        <w:rPr>
          <w:rFonts w:asciiTheme="majorBidi" w:hAnsiTheme="majorBidi" w:cstheme="majorBidi"/>
          <w:color w:val="000000"/>
          <w:sz w:val="24"/>
          <w:szCs w:val="24"/>
          <w:lang w:val="en-GB"/>
        </w:rPr>
        <w:t xml:space="preserve"> </w:t>
      </w:r>
      <w:r w:rsidR="003B4898" w:rsidRPr="00100028">
        <w:rPr>
          <w:rFonts w:asciiTheme="majorBidi" w:hAnsiTheme="majorBidi" w:cstheme="majorBidi"/>
          <w:color w:val="000000"/>
          <w:sz w:val="24"/>
          <w:szCs w:val="24"/>
          <w:lang w:val="en-GB"/>
        </w:rPr>
        <w:t>citizenship</w:t>
      </w:r>
      <w:r w:rsidR="00C007A2" w:rsidRPr="00100028">
        <w:rPr>
          <w:rFonts w:asciiTheme="majorBidi" w:hAnsiTheme="majorBidi" w:cstheme="majorBidi"/>
          <w:color w:val="000000"/>
          <w:sz w:val="24"/>
          <w:szCs w:val="24"/>
          <w:lang w:val="en-GB"/>
        </w:rPr>
        <w:t>.</w:t>
      </w:r>
      <w:r w:rsidR="0042740E" w:rsidRPr="00100028">
        <w:rPr>
          <w:rStyle w:val="FootnoteReference"/>
          <w:rFonts w:asciiTheme="majorBidi" w:hAnsiTheme="majorBidi" w:cstheme="majorBidi"/>
          <w:color w:val="000000"/>
          <w:sz w:val="24"/>
          <w:szCs w:val="24"/>
          <w:lang w:val="en-GB"/>
        </w:rPr>
        <w:footnoteReference w:id="60"/>
      </w:r>
      <w:r w:rsidR="00C007A2" w:rsidRPr="00100028">
        <w:rPr>
          <w:rFonts w:asciiTheme="majorBidi" w:hAnsiTheme="majorBidi" w:cstheme="majorBidi"/>
          <w:color w:val="000000"/>
          <w:sz w:val="24"/>
          <w:szCs w:val="24"/>
          <w:lang w:val="en-GB"/>
        </w:rPr>
        <w:t xml:space="preserve"> Like naturalization</w:t>
      </w:r>
      <w:r w:rsidR="00A52788" w:rsidRPr="00100028">
        <w:rPr>
          <w:rFonts w:asciiTheme="majorBidi" w:hAnsiTheme="majorBidi" w:cstheme="majorBidi"/>
          <w:color w:val="000000"/>
          <w:sz w:val="24"/>
          <w:szCs w:val="24"/>
          <w:lang w:val="en-GB"/>
        </w:rPr>
        <w:t xml:space="preserve">, decisions relating to such revocations of </w:t>
      </w:r>
      <w:r w:rsidR="003B4898" w:rsidRPr="00100028">
        <w:rPr>
          <w:rFonts w:asciiTheme="majorBidi" w:hAnsiTheme="majorBidi" w:cstheme="majorBidi"/>
          <w:color w:val="000000"/>
          <w:sz w:val="24"/>
          <w:szCs w:val="24"/>
          <w:lang w:val="en-GB"/>
        </w:rPr>
        <w:t>citizenship</w:t>
      </w:r>
      <w:r w:rsidR="00A52788" w:rsidRPr="00100028">
        <w:rPr>
          <w:rFonts w:asciiTheme="majorBidi" w:hAnsiTheme="majorBidi" w:cstheme="majorBidi"/>
          <w:color w:val="000000"/>
          <w:sz w:val="24"/>
          <w:szCs w:val="24"/>
          <w:lang w:val="en-GB"/>
        </w:rPr>
        <w:t xml:space="preserve"> were also </w:t>
      </w:r>
      <w:r w:rsidRPr="00100028">
        <w:rPr>
          <w:rFonts w:asciiTheme="majorBidi" w:hAnsiTheme="majorBidi" w:cstheme="majorBidi"/>
          <w:color w:val="000000"/>
          <w:sz w:val="24"/>
          <w:szCs w:val="24"/>
          <w:lang w:val="en-GB"/>
        </w:rPr>
        <w:t>gazetted</w:t>
      </w:r>
      <w:r w:rsidR="00A52788" w:rsidRPr="00100028">
        <w:rPr>
          <w:rFonts w:asciiTheme="majorBidi" w:hAnsiTheme="majorBidi" w:cstheme="majorBidi"/>
          <w:color w:val="000000"/>
          <w:sz w:val="24"/>
          <w:szCs w:val="24"/>
          <w:lang w:val="en-GB"/>
        </w:rPr>
        <w:t>.</w:t>
      </w:r>
      <w:r w:rsidR="00C007A2" w:rsidRPr="00100028">
        <w:rPr>
          <w:rStyle w:val="FootnoteReference"/>
          <w:rFonts w:asciiTheme="majorBidi" w:hAnsiTheme="majorBidi" w:cstheme="majorBidi"/>
          <w:color w:val="000000"/>
          <w:sz w:val="24"/>
          <w:szCs w:val="24"/>
          <w:lang w:val="en-GB"/>
        </w:rPr>
        <w:footnoteReference w:id="61"/>
      </w:r>
      <w:r w:rsidR="00A52788" w:rsidRPr="00100028">
        <w:rPr>
          <w:rFonts w:asciiTheme="majorBidi" w:hAnsiTheme="majorBidi" w:cstheme="majorBidi"/>
          <w:color w:val="000000"/>
          <w:sz w:val="24"/>
          <w:szCs w:val="24"/>
          <w:lang w:val="en-GB"/>
        </w:rPr>
        <w:t xml:space="preserve"> It should be n</w:t>
      </w:r>
      <w:r w:rsidR="00C007A2" w:rsidRPr="00100028">
        <w:rPr>
          <w:rFonts w:asciiTheme="majorBidi" w:hAnsiTheme="majorBidi" w:cstheme="majorBidi"/>
          <w:color w:val="000000"/>
          <w:sz w:val="24"/>
          <w:szCs w:val="24"/>
          <w:lang w:val="en-GB"/>
        </w:rPr>
        <w:t>oted that this</w:t>
      </w:r>
      <w:r w:rsidRPr="00100028">
        <w:rPr>
          <w:rFonts w:asciiTheme="majorBidi" w:hAnsiTheme="majorBidi" w:cstheme="majorBidi"/>
          <w:color w:val="000000"/>
          <w:sz w:val="24"/>
          <w:szCs w:val="24"/>
          <w:lang w:val="en-GB"/>
        </w:rPr>
        <w:t xml:space="preserve"> citizenship</w:t>
      </w:r>
      <w:r w:rsidR="00A13C4E" w:rsidRPr="00100028">
        <w:rPr>
          <w:rFonts w:asciiTheme="majorBidi" w:hAnsiTheme="majorBidi" w:cstheme="majorBidi"/>
          <w:color w:val="000000"/>
          <w:sz w:val="24"/>
          <w:szCs w:val="24"/>
          <w:lang w:val="en-GB"/>
        </w:rPr>
        <w:t xml:space="preserve"> constituted a form of</w:t>
      </w:r>
      <w:r w:rsidR="00A52788" w:rsidRPr="00100028">
        <w:rPr>
          <w:rFonts w:asciiTheme="majorBidi" w:hAnsiTheme="majorBidi" w:cstheme="majorBidi"/>
          <w:color w:val="000000"/>
          <w:sz w:val="24"/>
          <w:szCs w:val="24"/>
          <w:lang w:val="en-GB"/>
        </w:rPr>
        <w:t xml:space="preserve"> a</w:t>
      </w:r>
      <w:r w:rsidRPr="00100028">
        <w:rPr>
          <w:rFonts w:asciiTheme="majorBidi" w:hAnsiTheme="majorBidi" w:cstheme="majorBidi"/>
          <w:color w:val="000000"/>
          <w:sz w:val="24"/>
          <w:szCs w:val="24"/>
          <w:lang w:val="en-GB"/>
        </w:rPr>
        <w:t>nomalous Palestinian citizenship</w:t>
      </w:r>
      <w:r w:rsidR="00A52788" w:rsidRPr="00100028">
        <w:rPr>
          <w:rFonts w:asciiTheme="majorBidi" w:hAnsiTheme="majorBidi" w:cstheme="majorBidi"/>
          <w:color w:val="000000"/>
          <w:sz w:val="24"/>
          <w:szCs w:val="24"/>
          <w:lang w:val="en-GB"/>
        </w:rPr>
        <w:t xml:space="preserve">. Its nature depended on the way in which </w:t>
      </w:r>
      <w:r w:rsidR="00FE2B16" w:rsidRPr="00100028">
        <w:rPr>
          <w:rFonts w:asciiTheme="majorBidi" w:hAnsiTheme="majorBidi" w:cstheme="majorBidi"/>
          <w:color w:val="000000"/>
          <w:sz w:val="24"/>
          <w:szCs w:val="24"/>
          <w:lang w:val="en-GB"/>
        </w:rPr>
        <w:t>State</w:t>
      </w:r>
      <w:r w:rsidR="00C007A2" w:rsidRPr="00100028">
        <w:rPr>
          <w:rFonts w:asciiTheme="majorBidi" w:hAnsiTheme="majorBidi" w:cstheme="majorBidi"/>
          <w:color w:val="000000"/>
          <w:sz w:val="24"/>
          <w:szCs w:val="24"/>
          <w:lang w:val="en-GB"/>
        </w:rPr>
        <w:t>s regarded the</w:t>
      </w:r>
      <w:r w:rsidRPr="00100028">
        <w:rPr>
          <w:rFonts w:asciiTheme="majorBidi" w:hAnsiTheme="majorBidi" w:cstheme="majorBidi"/>
          <w:color w:val="000000"/>
          <w:sz w:val="24"/>
          <w:szCs w:val="24"/>
          <w:lang w:val="en-GB"/>
        </w:rPr>
        <w:t xml:space="preserve"> holders</w:t>
      </w:r>
      <w:r w:rsidR="00A52788" w:rsidRPr="00100028">
        <w:rPr>
          <w:rFonts w:asciiTheme="majorBidi" w:hAnsiTheme="majorBidi" w:cstheme="majorBidi"/>
          <w:color w:val="000000"/>
          <w:sz w:val="24"/>
          <w:szCs w:val="24"/>
          <w:lang w:val="en-GB"/>
        </w:rPr>
        <w:t xml:space="preserve">. Many </w:t>
      </w:r>
      <w:r w:rsidR="00FE2B16" w:rsidRPr="00100028">
        <w:rPr>
          <w:rFonts w:asciiTheme="majorBidi" w:hAnsiTheme="majorBidi" w:cstheme="majorBidi"/>
          <w:color w:val="000000"/>
          <w:sz w:val="24"/>
          <w:szCs w:val="24"/>
          <w:lang w:val="en-GB"/>
        </w:rPr>
        <w:t>State</w:t>
      </w:r>
      <w:r w:rsidR="00C007A2" w:rsidRPr="00100028">
        <w:rPr>
          <w:rFonts w:asciiTheme="majorBidi" w:hAnsiTheme="majorBidi" w:cstheme="majorBidi"/>
          <w:color w:val="000000"/>
          <w:sz w:val="24"/>
          <w:szCs w:val="24"/>
          <w:lang w:val="en-GB"/>
        </w:rPr>
        <w:t>s viewed the inhabitants of Gaza</w:t>
      </w:r>
      <w:r w:rsidR="00A52788" w:rsidRPr="00100028">
        <w:rPr>
          <w:rFonts w:asciiTheme="majorBidi" w:hAnsiTheme="majorBidi" w:cstheme="majorBidi"/>
          <w:color w:val="000000"/>
          <w:sz w:val="24"/>
          <w:szCs w:val="24"/>
          <w:lang w:val="en-GB"/>
        </w:rPr>
        <w:t xml:space="preserve"> as refugees because they held Egyptian travel documents that Egypt granted to both refugees and non-refugees in</w:t>
      </w:r>
      <w:r w:rsidR="00C007A2" w:rsidRPr="00100028">
        <w:rPr>
          <w:rFonts w:asciiTheme="majorBidi" w:hAnsiTheme="majorBidi" w:cstheme="majorBidi"/>
          <w:color w:val="000000"/>
          <w:sz w:val="24"/>
          <w:szCs w:val="24"/>
          <w:lang w:val="en-GB"/>
        </w:rPr>
        <w:t xml:space="preserve"> Gaza</w:t>
      </w:r>
      <w:r w:rsidRPr="00100028">
        <w:rPr>
          <w:rFonts w:asciiTheme="majorBidi" w:hAnsiTheme="majorBidi" w:cstheme="majorBidi"/>
          <w:color w:val="000000"/>
          <w:sz w:val="24"/>
          <w:szCs w:val="24"/>
          <w:lang w:val="en-GB"/>
        </w:rPr>
        <w:t>.</w:t>
      </w:r>
      <w:r w:rsidR="00C007A2" w:rsidRPr="00100028">
        <w:rPr>
          <w:rStyle w:val="FootnoteReference"/>
          <w:rFonts w:asciiTheme="majorBidi" w:hAnsiTheme="majorBidi" w:cstheme="majorBidi"/>
          <w:color w:val="000000"/>
          <w:sz w:val="24"/>
          <w:szCs w:val="24"/>
          <w:lang w:val="en-GB"/>
        </w:rPr>
        <w:footnoteReference w:id="62"/>
      </w:r>
      <w:r w:rsidRPr="00100028">
        <w:rPr>
          <w:rFonts w:asciiTheme="majorBidi" w:hAnsiTheme="majorBidi" w:cstheme="majorBidi"/>
          <w:color w:val="000000"/>
          <w:sz w:val="24"/>
          <w:szCs w:val="24"/>
          <w:lang w:val="en-GB"/>
        </w:rPr>
        <w:t xml:space="preserve"> However, citizenship</w:t>
      </w:r>
      <w:r w:rsidR="00A52788" w:rsidRPr="00100028">
        <w:rPr>
          <w:rFonts w:asciiTheme="majorBidi" w:hAnsiTheme="majorBidi" w:cstheme="majorBidi"/>
          <w:color w:val="000000"/>
          <w:sz w:val="24"/>
          <w:szCs w:val="24"/>
          <w:lang w:val="en-GB"/>
        </w:rPr>
        <w:t xml:space="preserve"> status </w:t>
      </w:r>
      <w:r w:rsidR="001F4907" w:rsidRPr="00100028">
        <w:rPr>
          <w:rFonts w:asciiTheme="majorBidi" w:hAnsiTheme="majorBidi" w:cstheme="majorBidi"/>
          <w:color w:val="000000"/>
          <w:sz w:val="24"/>
          <w:szCs w:val="24"/>
          <w:lang w:val="en-GB"/>
        </w:rPr>
        <w:t xml:space="preserve">in Gaza </w:t>
      </w:r>
      <w:r w:rsidR="00A52788" w:rsidRPr="00100028">
        <w:rPr>
          <w:rFonts w:asciiTheme="majorBidi" w:hAnsiTheme="majorBidi" w:cstheme="majorBidi"/>
          <w:color w:val="000000"/>
          <w:sz w:val="24"/>
          <w:szCs w:val="24"/>
          <w:lang w:val="en-GB"/>
        </w:rPr>
        <w:t>produced fu</w:t>
      </w:r>
      <w:r w:rsidR="001F4907" w:rsidRPr="00100028">
        <w:rPr>
          <w:rFonts w:asciiTheme="majorBidi" w:hAnsiTheme="majorBidi" w:cstheme="majorBidi"/>
          <w:color w:val="000000"/>
          <w:sz w:val="24"/>
          <w:szCs w:val="24"/>
          <w:lang w:val="en-GB"/>
        </w:rPr>
        <w:t>lly-fledged local effects</w:t>
      </w:r>
      <w:r w:rsidR="00A52788" w:rsidRPr="00100028">
        <w:rPr>
          <w:rFonts w:asciiTheme="majorBidi" w:hAnsiTheme="majorBidi" w:cstheme="majorBidi"/>
          <w:color w:val="000000"/>
          <w:sz w:val="24"/>
          <w:szCs w:val="24"/>
          <w:lang w:val="en-GB"/>
        </w:rPr>
        <w:t>. Its holders enjoyed citizens</w:t>
      </w:r>
      <w:r w:rsidR="00F130C3" w:rsidRPr="00100028">
        <w:rPr>
          <w:rFonts w:asciiTheme="majorBidi" w:hAnsiTheme="majorBidi" w:cstheme="majorBidi"/>
          <w:color w:val="000000"/>
          <w:sz w:val="24"/>
          <w:szCs w:val="24"/>
          <w:lang w:val="en-GB"/>
        </w:rPr>
        <w:t>’</w:t>
      </w:r>
      <w:r w:rsidR="00A52788" w:rsidRPr="00100028">
        <w:rPr>
          <w:rFonts w:asciiTheme="majorBidi" w:hAnsiTheme="majorBidi" w:cstheme="majorBidi"/>
          <w:color w:val="000000"/>
          <w:sz w:val="24"/>
          <w:szCs w:val="24"/>
          <w:lang w:val="en-GB"/>
        </w:rPr>
        <w:t xml:space="preserve"> rights, including participation in parliam</w:t>
      </w:r>
      <w:r w:rsidR="00C007A2" w:rsidRPr="00100028">
        <w:rPr>
          <w:rFonts w:asciiTheme="majorBidi" w:hAnsiTheme="majorBidi" w:cstheme="majorBidi"/>
          <w:color w:val="000000"/>
          <w:sz w:val="24"/>
          <w:szCs w:val="24"/>
          <w:lang w:val="en-GB"/>
        </w:rPr>
        <w:t>entary elections, holding</w:t>
      </w:r>
      <w:r w:rsidR="00A52788" w:rsidRPr="00100028">
        <w:rPr>
          <w:rFonts w:asciiTheme="majorBidi" w:hAnsiTheme="majorBidi" w:cstheme="majorBidi"/>
          <w:color w:val="000000"/>
          <w:sz w:val="24"/>
          <w:szCs w:val="24"/>
          <w:lang w:val="en-GB"/>
        </w:rPr>
        <w:t xml:space="preserve"> public office, </w:t>
      </w:r>
      <w:r w:rsidR="00A13C4E" w:rsidRPr="00100028">
        <w:rPr>
          <w:rFonts w:asciiTheme="majorBidi" w:hAnsiTheme="majorBidi" w:cstheme="majorBidi"/>
          <w:color w:val="000000"/>
          <w:sz w:val="24"/>
          <w:szCs w:val="24"/>
          <w:lang w:val="en-GB"/>
        </w:rPr>
        <w:t>exit,</w:t>
      </w:r>
      <w:r w:rsidR="00584B6F" w:rsidRPr="00100028">
        <w:rPr>
          <w:rFonts w:asciiTheme="majorBidi" w:hAnsiTheme="majorBidi" w:cstheme="majorBidi"/>
          <w:color w:val="000000"/>
          <w:sz w:val="24"/>
          <w:szCs w:val="24"/>
          <w:lang w:val="en-GB"/>
        </w:rPr>
        <w:t xml:space="preserve"> return, </w:t>
      </w:r>
      <w:r w:rsidR="00A52788" w:rsidRPr="00100028">
        <w:rPr>
          <w:rFonts w:asciiTheme="majorBidi" w:hAnsiTheme="majorBidi" w:cstheme="majorBidi"/>
          <w:color w:val="000000"/>
          <w:sz w:val="24"/>
          <w:szCs w:val="24"/>
          <w:lang w:val="en-GB"/>
        </w:rPr>
        <w:t xml:space="preserve">and </w:t>
      </w:r>
      <w:r w:rsidR="00C007A2" w:rsidRPr="00100028">
        <w:rPr>
          <w:rFonts w:asciiTheme="majorBidi" w:hAnsiTheme="majorBidi" w:cstheme="majorBidi"/>
          <w:color w:val="000000"/>
          <w:sz w:val="24"/>
          <w:szCs w:val="24"/>
          <w:lang w:val="en-GB"/>
        </w:rPr>
        <w:t xml:space="preserve">residing </w:t>
      </w:r>
      <w:r w:rsidR="00A52788" w:rsidRPr="00100028">
        <w:rPr>
          <w:rFonts w:asciiTheme="majorBidi" w:hAnsiTheme="majorBidi" w:cstheme="majorBidi"/>
          <w:color w:val="000000"/>
          <w:sz w:val="24"/>
          <w:szCs w:val="24"/>
          <w:lang w:val="en-GB"/>
        </w:rPr>
        <w:t>permanent</w:t>
      </w:r>
      <w:r w:rsidR="00C007A2" w:rsidRPr="00100028">
        <w:rPr>
          <w:rFonts w:asciiTheme="majorBidi" w:hAnsiTheme="majorBidi" w:cstheme="majorBidi"/>
          <w:color w:val="000000"/>
          <w:sz w:val="24"/>
          <w:szCs w:val="24"/>
          <w:lang w:val="en-GB"/>
        </w:rPr>
        <w:t>ly</w:t>
      </w:r>
      <w:r w:rsidR="00A52788" w:rsidRPr="00100028">
        <w:rPr>
          <w:rFonts w:asciiTheme="majorBidi" w:hAnsiTheme="majorBidi" w:cstheme="majorBidi"/>
          <w:color w:val="000000"/>
          <w:sz w:val="24"/>
          <w:szCs w:val="24"/>
          <w:lang w:val="en-GB"/>
        </w:rPr>
        <w:t>.</w:t>
      </w:r>
    </w:p>
    <w:p w:rsidR="00A52788" w:rsidRPr="00100028" w:rsidRDefault="00A52788" w:rsidP="00100028">
      <w:pPr>
        <w:bidi w:val="0"/>
        <w:jc w:val="both"/>
        <w:rPr>
          <w:rFonts w:asciiTheme="majorBidi" w:hAnsiTheme="majorBidi" w:cstheme="majorBidi"/>
          <w:color w:val="000000"/>
          <w:sz w:val="24"/>
          <w:szCs w:val="24"/>
          <w:lang w:val="en-GB"/>
        </w:rPr>
      </w:pPr>
    </w:p>
    <w:p w:rsidR="00A52788" w:rsidRPr="00100028" w:rsidRDefault="00F613A0" w:rsidP="00100028">
      <w:pPr>
        <w:bidi w:val="0"/>
        <w:jc w:val="both"/>
        <w:rPr>
          <w:rFonts w:asciiTheme="majorBidi" w:hAnsiTheme="majorBidi" w:cstheme="majorBidi"/>
          <w:color w:val="000000"/>
          <w:sz w:val="24"/>
          <w:szCs w:val="24"/>
          <w:lang w:val="en-GB"/>
        </w:rPr>
      </w:pPr>
      <w:r w:rsidRPr="00100028">
        <w:rPr>
          <w:rFonts w:asciiTheme="majorBidi" w:hAnsiTheme="majorBidi" w:cstheme="majorBidi"/>
          <w:color w:val="000000"/>
          <w:sz w:val="24"/>
          <w:szCs w:val="24"/>
          <w:lang w:val="en-GB"/>
        </w:rPr>
        <w:t>In Egypt, Gazans</w:t>
      </w:r>
      <w:r w:rsidR="00A52788" w:rsidRPr="00100028">
        <w:rPr>
          <w:rFonts w:asciiTheme="majorBidi" w:hAnsiTheme="majorBidi" w:cstheme="majorBidi"/>
          <w:color w:val="000000"/>
          <w:sz w:val="24"/>
          <w:szCs w:val="24"/>
          <w:lang w:val="en-GB"/>
        </w:rPr>
        <w:t xml:space="preserve"> w</w:t>
      </w:r>
      <w:r w:rsidR="00584B6F" w:rsidRPr="00100028">
        <w:rPr>
          <w:rFonts w:asciiTheme="majorBidi" w:hAnsiTheme="majorBidi" w:cstheme="majorBidi"/>
          <w:color w:val="000000"/>
          <w:sz w:val="24"/>
          <w:szCs w:val="24"/>
          <w:lang w:val="en-GB"/>
        </w:rPr>
        <w:t>ere viewed as foreigners</w:t>
      </w:r>
      <w:r w:rsidR="00A52788" w:rsidRPr="00100028">
        <w:rPr>
          <w:rFonts w:asciiTheme="majorBidi" w:hAnsiTheme="majorBidi" w:cstheme="majorBidi"/>
          <w:color w:val="000000"/>
          <w:sz w:val="24"/>
          <w:szCs w:val="24"/>
          <w:lang w:val="en-GB"/>
        </w:rPr>
        <w:t>.</w:t>
      </w:r>
      <w:r w:rsidR="00E77D30" w:rsidRPr="00100028">
        <w:rPr>
          <w:rStyle w:val="FootnoteReference"/>
          <w:rFonts w:asciiTheme="majorBidi" w:hAnsiTheme="majorBidi" w:cstheme="majorBidi"/>
          <w:color w:val="000000"/>
          <w:sz w:val="24"/>
          <w:szCs w:val="24"/>
          <w:lang w:val="en-GB"/>
        </w:rPr>
        <w:footnoteReference w:id="63"/>
      </w:r>
      <w:r w:rsidR="00A52788" w:rsidRPr="00100028">
        <w:rPr>
          <w:rFonts w:asciiTheme="majorBidi" w:hAnsiTheme="majorBidi" w:cstheme="majorBidi"/>
          <w:color w:val="000000"/>
          <w:sz w:val="24"/>
          <w:szCs w:val="24"/>
          <w:lang w:val="en-GB"/>
        </w:rPr>
        <w:t xml:space="preserve"> However, they were treated on the same footing as Egyptians in regard to a number of social rights, such as admission to public schools and </w:t>
      </w:r>
      <w:r w:rsidR="00A52788" w:rsidRPr="00100028">
        <w:rPr>
          <w:rFonts w:asciiTheme="majorBidi" w:hAnsiTheme="majorBidi" w:cstheme="majorBidi"/>
          <w:bCs/>
          <w:color w:val="000000"/>
          <w:sz w:val="24"/>
          <w:szCs w:val="24"/>
          <w:lang w:val="en-GB"/>
        </w:rPr>
        <w:t>access to</w:t>
      </w:r>
      <w:r w:rsidR="00A52788" w:rsidRPr="00100028">
        <w:rPr>
          <w:rFonts w:asciiTheme="majorBidi" w:hAnsiTheme="majorBidi" w:cstheme="majorBidi"/>
          <w:color w:val="000000"/>
          <w:sz w:val="24"/>
          <w:szCs w:val="24"/>
          <w:lang w:val="en-GB"/>
        </w:rPr>
        <w:t xml:space="preserve"> public health institutions.</w:t>
      </w:r>
      <w:r w:rsidR="00C007A2" w:rsidRPr="00100028">
        <w:rPr>
          <w:rStyle w:val="FootnoteReference"/>
          <w:rFonts w:asciiTheme="majorBidi" w:hAnsiTheme="majorBidi" w:cstheme="majorBidi"/>
          <w:color w:val="000000"/>
          <w:sz w:val="24"/>
          <w:szCs w:val="24"/>
          <w:lang w:val="en-GB"/>
        </w:rPr>
        <w:footnoteReference w:id="64"/>
      </w:r>
      <w:r w:rsidR="00A52788" w:rsidRPr="00100028">
        <w:rPr>
          <w:rFonts w:asciiTheme="majorBidi" w:hAnsiTheme="majorBidi" w:cstheme="majorBidi"/>
          <w:color w:val="000000"/>
          <w:sz w:val="24"/>
          <w:szCs w:val="24"/>
          <w:lang w:val="en-GB"/>
        </w:rPr>
        <w:t xml:space="preserve"> Whi</w:t>
      </w:r>
      <w:r w:rsidRPr="00100028">
        <w:rPr>
          <w:rFonts w:asciiTheme="majorBidi" w:hAnsiTheme="majorBidi" w:cstheme="majorBidi"/>
          <w:color w:val="000000"/>
          <w:sz w:val="24"/>
          <w:szCs w:val="24"/>
          <w:lang w:val="en-GB"/>
        </w:rPr>
        <w:t>le abroad, Gazans</w:t>
      </w:r>
      <w:r w:rsidR="00A52788" w:rsidRPr="00100028">
        <w:rPr>
          <w:rFonts w:asciiTheme="majorBidi" w:hAnsiTheme="majorBidi" w:cstheme="majorBidi"/>
          <w:color w:val="000000"/>
          <w:sz w:val="24"/>
          <w:szCs w:val="24"/>
          <w:lang w:val="en-GB"/>
        </w:rPr>
        <w:t xml:space="preserve"> were protected by Egyptian diplomatic and consular missions—</w:t>
      </w:r>
      <w:r w:rsidR="00C007A2" w:rsidRPr="00100028">
        <w:rPr>
          <w:rFonts w:asciiTheme="majorBidi" w:hAnsiTheme="majorBidi" w:cstheme="majorBidi"/>
          <w:color w:val="000000"/>
          <w:sz w:val="24"/>
          <w:szCs w:val="24"/>
          <w:lang w:val="en-GB"/>
        </w:rPr>
        <w:t xml:space="preserve"> </w:t>
      </w:r>
      <w:r w:rsidR="00A52788" w:rsidRPr="00100028">
        <w:rPr>
          <w:rFonts w:asciiTheme="majorBidi" w:hAnsiTheme="majorBidi" w:cstheme="majorBidi"/>
          <w:color w:val="000000"/>
          <w:sz w:val="24"/>
          <w:szCs w:val="24"/>
          <w:lang w:val="en-GB"/>
        </w:rPr>
        <w:t>similar to the protection enjoyed by Palestinians under British rule</w:t>
      </w:r>
      <w:r w:rsidRPr="00100028">
        <w:rPr>
          <w:rFonts w:asciiTheme="majorBidi" w:hAnsiTheme="majorBidi" w:cstheme="majorBidi"/>
          <w:color w:val="000000"/>
          <w:sz w:val="24"/>
          <w:szCs w:val="24"/>
          <w:lang w:val="en-GB"/>
        </w:rPr>
        <w:t>. Hence, Gazans</w:t>
      </w:r>
      <w:r w:rsidR="00A52788" w:rsidRPr="00100028">
        <w:rPr>
          <w:rFonts w:asciiTheme="majorBidi" w:hAnsiTheme="majorBidi" w:cstheme="majorBidi"/>
          <w:color w:val="000000"/>
          <w:sz w:val="24"/>
          <w:szCs w:val="24"/>
          <w:lang w:val="en-GB"/>
        </w:rPr>
        <w:t xml:space="preserve"> </w:t>
      </w:r>
      <w:r w:rsidRPr="00100028">
        <w:rPr>
          <w:rFonts w:asciiTheme="majorBidi" w:hAnsiTheme="majorBidi" w:cstheme="majorBidi"/>
          <w:color w:val="000000"/>
          <w:sz w:val="24"/>
          <w:szCs w:val="24"/>
          <w:lang w:val="en-GB"/>
        </w:rPr>
        <w:t xml:space="preserve">at the time had </w:t>
      </w:r>
      <w:r w:rsidR="00584B6F" w:rsidRPr="00100028">
        <w:rPr>
          <w:rFonts w:asciiTheme="majorBidi" w:hAnsiTheme="majorBidi" w:cstheme="majorBidi"/>
          <w:bCs/>
          <w:color w:val="000000"/>
          <w:sz w:val="24"/>
          <w:szCs w:val="24"/>
          <w:lang w:val="en-GB"/>
        </w:rPr>
        <w:t>a</w:t>
      </w:r>
      <w:r w:rsidRPr="00100028">
        <w:rPr>
          <w:rFonts w:asciiTheme="majorBidi" w:hAnsiTheme="majorBidi" w:cstheme="majorBidi"/>
          <w:color w:val="000000"/>
          <w:sz w:val="24"/>
          <w:szCs w:val="24"/>
          <w:lang w:val="en-GB"/>
        </w:rPr>
        <w:t xml:space="preserve"> </w:t>
      </w:r>
      <w:r w:rsidR="00584B6F" w:rsidRPr="00100028">
        <w:rPr>
          <w:rFonts w:asciiTheme="majorBidi" w:hAnsiTheme="majorBidi" w:cstheme="majorBidi"/>
          <w:i/>
          <w:iCs/>
          <w:color w:val="000000"/>
          <w:sz w:val="24"/>
          <w:szCs w:val="24"/>
          <w:lang w:val="en-GB"/>
        </w:rPr>
        <w:t>sui generis</w:t>
      </w:r>
      <w:r w:rsidR="00584B6F" w:rsidRPr="00100028">
        <w:rPr>
          <w:rFonts w:asciiTheme="majorBidi" w:hAnsiTheme="majorBidi" w:cstheme="majorBidi"/>
          <w:color w:val="000000"/>
          <w:sz w:val="24"/>
          <w:szCs w:val="24"/>
          <w:lang w:val="en-GB"/>
        </w:rPr>
        <w:t xml:space="preserve"> </w:t>
      </w:r>
      <w:r w:rsidRPr="00100028">
        <w:rPr>
          <w:rFonts w:asciiTheme="majorBidi" w:hAnsiTheme="majorBidi" w:cstheme="majorBidi"/>
          <w:color w:val="000000"/>
          <w:sz w:val="24"/>
          <w:szCs w:val="24"/>
          <w:lang w:val="en-GB"/>
        </w:rPr>
        <w:t>status</w:t>
      </w:r>
      <w:r w:rsidR="00A52788" w:rsidRPr="00100028">
        <w:rPr>
          <w:rFonts w:asciiTheme="majorBidi" w:hAnsiTheme="majorBidi" w:cstheme="majorBidi"/>
          <w:color w:val="000000"/>
          <w:sz w:val="24"/>
          <w:szCs w:val="24"/>
          <w:lang w:val="en-GB"/>
        </w:rPr>
        <w:t xml:space="preserve"> that can b</w:t>
      </w:r>
      <w:r w:rsidRPr="00100028">
        <w:rPr>
          <w:rFonts w:asciiTheme="majorBidi" w:hAnsiTheme="majorBidi" w:cstheme="majorBidi"/>
          <w:color w:val="000000"/>
          <w:sz w:val="24"/>
          <w:szCs w:val="24"/>
          <w:lang w:val="en-GB"/>
        </w:rPr>
        <w:t xml:space="preserve">e described as </w:t>
      </w:r>
      <w:r w:rsidR="00893F12"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Gaza citizenship</w:t>
      </w:r>
      <w:r w:rsidR="009F0BCE" w:rsidRPr="00100028">
        <w:rPr>
          <w:rFonts w:asciiTheme="majorBidi" w:hAnsiTheme="majorBidi" w:cstheme="majorBidi"/>
          <w:sz w:val="24"/>
          <w:szCs w:val="24"/>
          <w:lang w:val="en-GB"/>
        </w:rPr>
        <w:t>”</w:t>
      </w:r>
      <w:r w:rsidR="00A52788" w:rsidRPr="00100028">
        <w:rPr>
          <w:rFonts w:asciiTheme="majorBidi" w:hAnsiTheme="majorBidi" w:cstheme="majorBidi"/>
          <w:color w:val="000000"/>
          <w:sz w:val="24"/>
          <w:szCs w:val="24"/>
          <w:lang w:val="en-GB"/>
        </w:rPr>
        <w:t xml:space="preserve">. This anomalous status is </w:t>
      </w:r>
      <w:r w:rsidR="00A52788" w:rsidRPr="00100028">
        <w:rPr>
          <w:rFonts w:asciiTheme="majorBidi" w:hAnsiTheme="majorBidi" w:cstheme="majorBidi"/>
          <w:bCs/>
          <w:color w:val="000000"/>
          <w:sz w:val="24"/>
          <w:szCs w:val="24"/>
          <w:lang w:val="en-GB"/>
        </w:rPr>
        <w:t>merely one</w:t>
      </w:r>
      <w:r w:rsidR="00A52788" w:rsidRPr="00100028">
        <w:rPr>
          <w:rFonts w:asciiTheme="majorBidi" w:hAnsiTheme="majorBidi" w:cstheme="majorBidi"/>
          <w:color w:val="000000"/>
          <w:sz w:val="24"/>
          <w:szCs w:val="24"/>
          <w:lang w:val="en-GB"/>
        </w:rPr>
        <w:t xml:space="preserve"> of the many anomalous circumstances stemming from the absence of the </w:t>
      </w:r>
      <w:r w:rsidR="00FE2B16" w:rsidRPr="00100028">
        <w:rPr>
          <w:rFonts w:asciiTheme="majorBidi" w:hAnsiTheme="majorBidi" w:cstheme="majorBidi"/>
          <w:color w:val="000000"/>
          <w:sz w:val="24"/>
          <w:szCs w:val="24"/>
          <w:lang w:val="en-GB"/>
        </w:rPr>
        <w:t>State</w:t>
      </w:r>
      <w:r w:rsidR="00A52788" w:rsidRPr="00100028">
        <w:rPr>
          <w:rFonts w:asciiTheme="majorBidi" w:hAnsiTheme="majorBidi" w:cstheme="majorBidi"/>
          <w:color w:val="000000"/>
          <w:sz w:val="24"/>
          <w:szCs w:val="24"/>
          <w:lang w:val="en-GB"/>
        </w:rPr>
        <w:t xml:space="preserve"> of Palestine. Such anomalies hav</w:t>
      </w:r>
      <w:r w:rsidRPr="00100028">
        <w:rPr>
          <w:rFonts w:asciiTheme="majorBidi" w:hAnsiTheme="majorBidi" w:cstheme="majorBidi"/>
          <w:color w:val="000000"/>
          <w:sz w:val="24"/>
          <w:szCs w:val="24"/>
          <w:lang w:val="en-GB"/>
        </w:rPr>
        <w:t>e shaped Palestinian citizenship</w:t>
      </w:r>
      <w:r w:rsidR="00A52788" w:rsidRPr="00100028">
        <w:rPr>
          <w:rFonts w:asciiTheme="majorBidi" w:hAnsiTheme="majorBidi" w:cstheme="majorBidi"/>
          <w:color w:val="000000"/>
          <w:sz w:val="24"/>
          <w:szCs w:val="24"/>
          <w:lang w:val="en-GB"/>
        </w:rPr>
        <w:t xml:space="preserve"> from 1917 </w:t>
      </w:r>
      <w:r w:rsidR="00BE4081" w:rsidRPr="00100028">
        <w:rPr>
          <w:rFonts w:asciiTheme="majorBidi" w:hAnsiTheme="majorBidi" w:cstheme="majorBidi"/>
          <w:color w:val="000000"/>
          <w:sz w:val="24"/>
          <w:szCs w:val="24"/>
          <w:lang w:val="en-GB"/>
        </w:rPr>
        <w:t>until</w:t>
      </w:r>
      <w:r w:rsidR="00A52788" w:rsidRPr="00100028">
        <w:rPr>
          <w:rFonts w:asciiTheme="majorBidi" w:hAnsiTheme="majorBidi" w:cstheme="majorBidi"/>
          <w:color w:val="000000"/>
          <w:sz w:val="24"/>
          <w:szCs w:val="24"/>
          <w:lang w:val="en-GB"/>
        </w:rPr>
        <w:t xml:space="preserve"> </w:t>
      </w:r>
      <w:r w:rsidRPr="00100028">
        <w:rPr>
          <w:rFonts w:asciiTheme="majorBidi" w:hAnsiTheme="majorBidi" w:cstheme="majorBidi"/>
          <w:color w:val="000000"/>
          <w:sz w:val="24"/>
          <w:szCs w:val="24"/>
          <w:lang w:val="en-GB"/>
        </w:rPr>
        <w:t>the present day; the citizenship of the Gaza</w:t>
      </w:r>
      <w:r w:rsidR="00F130C3" w:rsidRPr="00100028">
        <w:rPr>
          <w:rFonts w:asciiTheme="majorBidi" w:hAnsiTheme="majorBidi" w:cstheme="majorBidi"/>
          <w:color w:val="000000"/>
          <w:sz w:val="24"/>
          <w:szCs w:val="24"/>
          <w:lang w:val="en-GB"/>
        </w:rPr>
        <w:t>’</w:t>
      </w:r>
      <w:r w:rsidR="00A52788" w:rsidRPr="00100028">
        <w:rPr>
          <w:rFonts w:asciiTheme="majorBidi" w:hAnsiTheme="majorBidi" w:cstheme="majorBidi"/>
          <w:color w:val="000000"/>
          <w:sz w:val="24"/>
          <w:szCs w:val="24"/>
          <w:lang w:val="en-GB"/>
        </w:rPr>
        <w:t>s inhabitants was no exception.</w:t>
      </w:r>
      <w:r w:rsidR="00C007A2" w:rsidRPr="00100028">
        <w:rPr>
          <w:rStyle w:val="FootnoteReference"/>
          <w:rFonts w:asciiTheme="majorBidi" w:hAnsiTheme="majorBidi" w:cstheme="majorBidi"/>
          <w:color w:val="000000"/>
          <w:sz w:val="24"/>
          <w:szCs w:val="24"/>
          <w:lang w:val="en-GB"/>
        </w:rPr>
        <w:footnoteReference w:id="65"/>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This situation continued until 5 June 1967 whe</w:t>
      </w:r>
      <w:r w:rsidR="00C007A2" w:rsidRPr="00100028">
        <w:rPr>
          <w:rFonts w:asciiTheme="majorBidi" w:hAnsiTheme="majorBidi" w:cstheme="majorBidi"/>
          <w:sz w:val="24"/>
          <w:szCs w:val="24"/>
          <w:lang w:val="en-GB"/>
        </w:rPr>
        <w:t>n Israel occupied Gaza</w:t>
      </w:r>
      <w:r w:rsidRPr="00100028">
        <w:rPr>
          <w:rFonts w:asciiTheme="majorBidi" w:hAnsiTheme="majorBidi" w:cstheme="majorBidi"/>
          <w:sz w:val="24"/>
          <w:szCs w:val="24"/>
          <w:lang w:val="en-GB"/>
        </w:rPr>
        <w:t>.</w:t>
      </w:r>
      <w:r w:rsidR="00BA7C44" w:rsidRPr="00100028">
        <w:rPr>
          <w:rStyle w:val="FootnoteReference"/>
          <w:rFonts w:asciiTheme="majorBidi" w:hAnsiTheme="majorBidi" w:cstheme="majorBidi"/>
          <w:sz w:val="24"/>
          <w:szCs w:val="24"/>
          <w:lang w:val="en-GB"/>
        </w:rPr>
        <w:footnoteReference w:id="66"/>
      </w:r>
      <w:r w:rsidRPr="00100028">
        <w:rPr>
          <w:rFonts w:asciiTheme="majorBidi" w:hAnsiTheme="majorBidi" w:cstheme="majorBidi"/>
          <w:sz w:val="24"/>
          <w:szCs w:val="24"/>
          <w:lang w:val="en-GB"/>
        </w:rPr>
        <w:t xml:space="preserve"> Israel then closed the borders with </w:t>
      </w:r>
      <w:r w:rsidR="004F7464" w:rsidRPr="00100028">
        <w:rPr>
          <w:rFonts w:asciiTheme="majorBidi" w:hAnsiTheme="majorBidi" w:cstheme="majorBidi"/>
          <w:sz w:val="24"/>
          <w:szCs w:val="24"/>
          <w:lang w:val="en-GB"/>
        </w:rPr>
        <w:t xml:space="preserve">its territory and with </w:t>
      </w:r>
      <w:r w:rsidRPr="00100028">
        <w:rPr>
          <w:rFonts w:asciiTheme="majorBidi" w:hAnsiTheme="majorBidi" w:cstheme="majorBidi"/>
          <w:sz w:val="24"/>
          <w:szCs w:val="24"/>
          <w:lang w:val="en-GB"/>
        </w:rPr>
        <w:t>Egypt and did not allow the Gaz</w:t>
      </w:r>
      <w:r w:rsidR="00F613A0" w:rsidRPr="00100028">
        <w:rPr>
          <w:rFonts w:asciiTheme="majorBidi" w:hAnsiTheme="majorBidi" w:cstheme="majorBidi"/>
          <w:sz w:val="24"/>
          <w:szCs w:val="24"/>
          <w:lang w:val="en-GB"/>
        </w:rPr>
        <w:t>ans to leave</w:t>
      </w:r>
      <w:r w:rsidRPr="00100028">
        <w:rPr>
          <w:rFonts w:asciiTheme="majorBidi" w:hAnsiTheme="majorBidi" w:cstheme="majorBidi"/>
          <w:sz w:val="24"/>
          <w:szCs w:val="24"/>
          <w:lang w:val="en-GB"/>
        </w:rPr>
        <w:t xml:space="preserve"> by sea.</w:t>
      </w:r>
      <w:r w:rsidR="004F7464" w:rsidRPr="00100028">
        <w:rPr>
          <w:rStyle w:val="FootnoteReference"/>
          <w:rFonts w:asciiTheme="majorBidi" w:hAnsiTheme="majorBidi" w:cstheme="majorBidi"/>
          <w:sz w:val="24"/>
          <w:szCs w:val="24"/>
          <w:lang w:val="en-GB"/>
        </w:rPr>
        <w:footnoteReference w:id="67"/>
      </w:r>
      <w:r w:rsidRPr="00100028">
        <w:rPr>
          <w:rFonts w:asciiTheme="majorBidi" w:hAnsiTheme="majorBidi" w:cstheme="majorBidi"/>
          <w:sz w:val="24"/>
          <w:szCs w:val="24"/>
          <w:lang w:val="en-GB"/>
        </w:rPr>
        <w:t xml:space="preserve"> No one co</w:t>
      </w:r>
      <w:r w:rsidR="00F613A0" w:rsidRPr="00100028">
        <w:rPr>
          <w:rFonts w:asciiTheme="majorBidi" w:hAnsiTheme="majorBidi" w:cstheme="majorBidi"/>
          <w:sz w:val="24"/>
          <w:szCs w:val="24"/>
          <w:lang w:val="en-GB"/>
        </w:rPr>
        <w:t>uld leave, or land in, Gaza</w:t>
      </w:r>
      <w:r w:rsidRPr="00100028">
        <w:rPr>
          <w:rFonts w:asciiTheme="majorBidi" w:hAnsiTheme="majorBidi" w:cstheme="majorBidi"/>
          <w:sz w:val="24"/>
          <w:szCs w:val="24"/>
          <w:lang w:val="en-GB"/>
        </w:rPr>
        <w:t xml:space="preserve"> without Israeli permission.</w:t>
      </w:r>
      <w:r w:rsidR="00C007A2" w:rsidRPr="00100028">
        <w:rPr>
          <w:rStyle w:val="FootnoteReference"/>
          <w:rFonts w:asciiTheme="majorBidi" w:hAnsiTheme="majorBidi" w:cstheme="majorBidi"/>
          <w:sz w:val="24"/>
          <w:szCs w:val="24"/>
          <w:lang w:val="en-GB"/>
        </w:rPr>
        <w:footnoteReference w:id="68"/>
      </w:r>
      <w:r w:rsidRPr="00100028">
        <w:rPr>
          <w:rFonts w:asciiTheme="majorBidi" w:hAnsiTheme="majorBidi" w:cstheme="majorBidi"/>
          <w:sz w:val="24"/>
          <w:szCs w:val="24"/>
          <w:lang w:val="en-GB"/>
        </w:rPr>
        <w:t xml:space="preserve"> The Gaza</w:t>
      </w:r>
      <w:r w:rsidR="00F613A0" w:rsidRPr="00100028">
        <w:rPr>
          <w:rFonts w:asciiTheme="majorBidi" w:hAnsiTheme="majorBidi" w:cstheme="majorBidi"/>
          <w:sz w:val="24"/>
          <w:szCs w:val="24"/>
          <w:lang w:val="en-GB"/>
        </w:rPr>
        <w:t>ns</w:t>
      </w:r>
      <w:r w:rsidRPr="00100028">
        <w:rPr>
          <w:rFonts w:asciiTheme="majorBidi" w:hAnsiTheme="majorBidi" w:cstheme="majorBidi"/>
          <w:sz w:val="24"/>
          <w:szCs w:val="24"/>
          <w:lang w:val="en-GB"/>
        </w:rPr>
        <w:t xml:space="preserve"> were considered by Israel at that time as </w:t>
      </w:r>
      <w:r w:rsidR="00F613A0" w:rsidRPr="00100028">
        <w:rPr>
          <w:rFonts w:asciiTheme="majorBidi" w:hAnsiTheme="majorBidi" w:cstheme="majorBidi"/>
          <w:sz w:val="24"/>
          <w:szCs w:val="24"/>
          <w:lang w:val="en-GB"/>
        </w:rPr>
        <w:t>permanent residents of Gaza</w:t>
      </w:r>
      <w:r w:rsidRPr="00100028">
        <w:rPr>
          <w:rFonts w:asciiTheme="majorBidi" w:hAnsiTheme="majorBidi" w:cstheme="majorBidi"/>
          <w:sz w:val="24"/>
          <w:szCs w:val="24"/>
          <w:lang w:val="en-GB"/>
        </w:rPr>
        <w:t>.</w:t>
      </w:r>
      <w:r w:rsidR="00C007A2" w:rsidRPr="00100028">
        <w:rPr>
          <w:rStyle w:val="FootnoteReference"/>
          <w:rFonts w:asciiTheme="majorBidi" w:hAnsiTheme="majorBidi" w:cstheme="majorBidi"/>
          <w:sz w:val="24"/>
          <w:szCs w:val="24"/>
          <w:lang w:val="en-GB"/>
        </w:rPr>
        <w:footnoteReference w:id="69"/>
      </w:r>
      <w:r w:rsidRPr="00100028">
        <w:rPr>
          <w:rFonts w:asciiTheme="majorBidi" w:hAnsiTheme="majorBidi" w:cstheme="majorBidi"/>
          <w:sz w:val="24"/>
          <w:szCs w:val="24"/>
          <w:lang w:val="en-GB"/>
        </w:rPr>
        <w:t xml:space="preserve"> Their status had become similar to that of citizens, albeit under occupation, as was the case in the West Bank. Israel g</w:t>
      </w:r>
      <w:r w:rsidR="00A13C4E" w:rsidRPr="00100028">
        <w:rPr>
          <w:rFonts w:asciiTheme="majorBidi" w:hAnsiTheme="majorBidi" w:cstheme="majorBidi"/>
          <w:sz w:val="24"/>
          <w:szCs w:val="24"/>
          <w:lang w:val="en-GB"/>
        </w:rPr>
        <w:t>ranted</w:t>
      </w:r>
      <w:r w:rsidR="00F613A0" w:rsidRPr="00100028">
        <w:rPr>
          <w:rFonts w:asciiTheme="majorBidi" w:hAnsiTheme="majorBidi" w:cstheme="majorBidi"/>
          <w:sz w:val="24"/>
          <w:szCs w:val="24"/>
          <w:lang w:val="en-GB"/>
        </w:rPr>
        <w:t xml:space="preserve"> Gazan</w:t>
      </w:r>
      <w:r w:rsidRPr="00100028">
        <w:rPr>
          <w:rFonts w:asciiTheme="majorBidi" w:hAnsiTheme="majorBidi" w:cstheme="majorBidi"/>
          <w:sz w:val="24"/>
          <w:szCs w:val="24"/>
          <w:lang w:val="en-GB"/>
        </w:rPr>
        <w:t>s orange-coloured identity cards as pro</w:t>
      </w:r>
      <w:r w:rsidR="00F613A0" w:rsidRPr="00100028">
        <w:rPr>
          <w:rFonts w:asciiTheme="majorBidi" w:hAnsiTheme="majorBidi" w:cstheme="majorBidi"/>
          <w:sz w:val="24"/>
          <w:szCs w:val="24"/>
          <w:lang w:val="en-GB"/>
        </w:rPr>
        <w:t>of of residency.</w:t>
      </w:r>
      <w:r w:rsidR="00C007A2" w:rsidRPr="00100028">
        <w:rPr>
          <w:rStyle w:val="FootnoteReference"/>
          <w:rFonts w:asciiTheme="majorBidi" w:hAnsiTheme="majorBidi" w:cstheme="majorBidi"/>
          <w:sz w:val="24"/>
          <w:szCs w:val="24"/>
          <w:lang w:val="en-GB"/>
        </w:rPr>
        <w:footnoteReference w:id="70"/>
      </w:r>
      <w:r w:rsidR="00F613A0" w:rsidRPr="00100028">
        <w:rPr>
          <w:rFonts w:asciiTheme="majorBidi" w:hAnsiTheme="majorBidi" w:cstheme="majorBidi"/>
          <w:sz w:val="24"/>
          <w:szCs w:val="24"/>
          <w:lang w:val="en-GB"/>
        </w:rPr>
        <w:t xml:space="preserve"> It allowed the</w:t>
      </w:r>
      <w:r w:rsidRPr="00100028">
        <w:rPr>
          <w:rFonts w:asciiTheme="majorBidi" w:hAnsiTheme="majorBidi" w:cstheme="majorBidi"/>
          <w:sz w:val="24"/>
          <w:szCs w:val="24"/>
          <w:lang w:val="en-GB"/>
        </w:rPr>
        <w:t xml:space="preserve"> inhabitants who applied for permits to the Israeli military commande</w:t>
      </w:r>
      <w:r w:rsidR="00F613A0" w:rsidRPr="00100028">
        <w:rPr>
          <w:rFonts w:asciiTheme="majorBidi" w:hAnsiTheme="majorBidi" w:cstheme="majorBidi"/>
          <w:sz w:val="24"/>
          <w:szCs w:val="24"/>
          <w:lang w:val="en-GB"/>
        </w:rPr>
        <w:t>r of Gaza</w:t>
      </w:r>
      <w:r w:rsidRPr="00100028">
        <w:rPr>
          <w:rFonts w:asciiTheme="majorBidi" w:hAnsiTheme="majorBidi" w:cstheme="majorBidi"/>
          <w:sz w:val="24"/>
          <w:szCs w:val="24"/>
          <w:lang w:val="en-GB"/>
        </w:rPr>
        <w:t xml:space="preserve"> t</w:t>
      </w:r>
      <w:r w:rsidR="00A13C4E" w:rsidRPr="00100028">
        <w:rPr>
          <w:rFonts w:asciiTheme="majorBidi" w:hAnsiTheme="majorBidi" w:cstheme="majorBidi"/>
          <w:sz w:val="24"/>
          <w:szCs w:val="24"/>
          <w:lang w:val="en-GB"/>
        </w:rPr>
        <w:t>o leave abroad</w:t>
      </w:r>
      <w:r w:rsidRPr="00100028">
        <w:rPr>
          <w:rFonts w:asciiTheme="majorBidi" w:hAnsiTheme="majorBidi" w:cstheme="majorBidi"/>
          <w:sz w:val="24"/>
          <w:szCs w:val="24"/>
          <w:lang w:val="en-GB"/>
        </w:rPr>
        <w:t xml:space="preserve"> and to return.</w:t>
      </w:r>
      <w:r w:rsidR="00435917" w:rsidRPr="00100028">
        <w:rPr>
          <w:rStyle w:val="FootnoteReference"/>
          <w:rFonts w:asciiTheme="majorBidi" w:hAnsiTheme="majorBidi" w:cstheme="majorBidi"/>
          <w:sz w:val="24"/>
          <w:szCs w:val="24"/>
          <w:lang w:val="en-GB"/>
        </w:rPr>
        <w:footnoteReference w:id="71"/>
      </w:r>
    </w:p>
    <w:p w:rsidR="00A52788" w:rsidRPr="00100028" w:rsidRDefault="00A52788" w:rsidP="00100028">
      <w:pPr>
        <w:bidi w:val="0"/>
        <w:jc w:val="both"/>
        <w:rPr>
          <w:rFonts w:asciiTheme="majorBidi" w:hAnsiTheme="majorBidi" w:cstheme="majorBidi"/>
          <w:sz w:val="24"/>
          <w:szCs w:val="24"/>
          <w:lang w:val="en-GB"/>
        </w:rPr>
      </w:pPr>
    </w:p>
    <w:p w:rsidR="005765D6"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The</w:t>
      </w:r>
      <w:r w:rsidR="00A13C4E" w:rsidRPr="00100028">
        <w:rPr>
          <w:rFonts w:asciiTheme="majorBidi" w:hAnsiTheme="majorBidi" w:cstheme="majorBidi"/>
          <w:sz w:val="24"/>
          <w:szCs w:val="24"/>
          <w:lang w:val="en-GB"/>
        </w:rPr>
        <w:t xml:space="preserve"> situation changed somewhat is of</w:t>
      </w:r>
      <w:r w:rsidRPr="00100028">
        <w:rPr>
          <w:rFonts w:asciiTheme="majorBidi" w:hAnsiTheme="majorBidi" w:cstheme="majorBidi"/>
          <w:sz w:val="24"/>
          <w:szCs w:val="24"/>
          <w:lang w:val="en-GB"/>
        </w:rPr>
        <w:t xml:space="preserve"> 1994 when the Palestinian Authority was established</w:t>
      </w:r>
      <w:r w:rsidR="00F613A0" w:rsidRPr="00100028">
        <w:rPr>
          <w:rFonts w:asciiTheme="majorBidi" w:hAnsiTheme="majorBidi" w:cstheme="majorBidi"/>
          <w:sz w:val="24"/>
          <w:szCs w:val="24"/>
          <w:lang w:val="en-GB"/>
        </w:rPr>
        <w:t xml:space="preserve"> in Gaza</w:t>
      </w:r>
      <w:r w:rsidRPr="00100028">
        <w:rPr>
          <w:rFonts w:asciiTheme="majorBidi" w:hAnsiTheme="majorBidi" w:cstheme="majorBidi"/>
          <w:sz w:val="24"/>
          <w:szCs w:val="24"/>
          <w:lang w:val="en-GB"/>
        </w:rPr>
        <w:t xml:space="preserve"> after the signing of the Oslo Accord</w:t>
      </w:r>
      <w:r w:rsidR="00A13C4E" w:rsidRPr="00100028">
        <w:rPr>
          <w:rFonts w:asciiTheme="majorBidi" w:hAnsiTheme="majorBidi" w:cstheme="majorBidi"/>
          <w:sz w:val="24"/>
          <w:szCs w:val="24"/>
          <w:lang w:val="en-GB"/>
        </w:rPr>
        <w:t xml:space="preserve"> as will be elaborated below</w:t>
      </w:r>
      <w:r w:rsidR="005765D6" w:rsidRPr="00100028">
        <w:rPr>
          <w:rFonts w:asciiTheme="majorBidi" w:hAnsiTheme="majorBidi" w:cstheme="majorBidi"/>
          <w:sz w:val="24"/>
          <w:szCs w:val="24"/>
          <w:lang w:val="en-GB"/>
        </w:rPr>
        <w:t>.</w:t>
      </w:r>
    </w:p>
    <w:p w:rsidR="005765D6" w:rsidRPr="00100028" w:rsidRDefault="005765D6"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In </w:t>
      </w:r>
      <w:r w:rsidR="0042740E" w:rsidRPr="00100028">
        <w:rPr>
          <w:rFonts w:asciiTheme="majorBidi" w:hAnsiTheme="majorBidi" w:cstheme="majorBidi"/>
          <w:sz w:val="24"/>
          <w:szCs w:val="24"/>
          <w:lang w:val="en-GB"/>
        </w:rPr>
        <w:t xml:space="preserve">September </w:t>
      </w:r>
      <w:r w:rsidRPr="00100028">
        <w:rPr>
          <w:rFonts w:asciiTheme="majorBidi" w:hAnsiTheme="majorBidi" w:cstheme="majorBidi"/>
          <w:sz w:val="24"/>
          <w:szCs w:val="24"/>
          <w:lang w:val="en-GB"/>
        </w:rPr>
        <w:t>2005, Israel withdre</w:t>
      </w:r>
      <w:r w:rsidR="0042740E" w:rsidRPr="00100028">
        <w:rPr>
          <w:rFonts w:asciiTheme="majorBidi" w:hAnsiTheme="majorBidi" w:cstheme="majorBidi"/>
          <w:sz w:val="24"/>
          <w:szCs w:val="24"/>
          <w:lang w:val="en-GB"/>
        </w:rPr>
        <w:t>w</w:t>
      </w:r>
      <w:r w:rsidR="00435917" w:rsidRPr="00100028">
        <w:rPr>
          <w:rFonts w:asciiTheme="majorBidi" w:hAnsiTheme="majorBidi" w:cstheme="majorBidi"/>
          <w:sz w:val="24"/>
          <w:szCs w:val="24"/>
          <w:lang w:val="en-GB"/>
        </w:rPr>
        <w:t xml:space="preserve"> from Gaza</w:t>
      </w:r>
      <w:r w:rsidR="00A13C4E" w:rsidRPr="00100028">
        <w:rPr>
          <w:rFonts w:asciiTheme="majorBidi" w:hAnsiTheme="majorBidi" w:cstheme="majorBidi"/>
          <w:sz w:val="24"/>
          <w:szCs w:val="24"/>
          <w:lang w:val="en-GB"/>
        </w:rPr>
        <w:t>. Israel</w:t>
      </w:r>
      <w:r w:rsidR="0042740E" w:rsidRPr="00100028">
        <w:rPr>
          <w:rFonts w:asciiTheme="majorBidi" w:hAnsiTheme="majorBidi" w:cstheme="majorBidi"/>
          <w:sz w:val="24"/>
          <w:szCs w:val="24"/>
          <w:lang w:val="en-GB"/>
        </w:rPr>
        <w:t xml:space="preserve"> simultaneously</w:t>
      </w:r>
      <w:r w:rsidRPr="00100028">
        <w:rPr>
          <w:rFonts w:asciiTheme="majorBidi" w:hAnsiTheme="majorBidi" w:cstheme="majorBidi"/>
          <w:sz w:val="24"/>
          <w:szCs w:val="24"/>
          <w:lang w:val="en-GB"/>
        </w:rPr>
        <w:t xml:space="preserve"> m</w:t>
      </w:r>
      <w:r w:rsidR="00435917" w:rsidRPr="00100028">
        <w:rPr>
          <w:rFonts w:asciiTheme="majorBidi" w:hAnsiTheme="majorBidi" w:cstheme="majorBidi"/>
          <w:sz w:val="24"/>
          <w:szCs w:val="24"/>
          <w:lang w:val="en-GB"/>
        </w:rPr>
        <w:t xml:space="preserve">aintained </w:t>
      </w:r>
      <w:r w:rsidR="00576478" w:rsidRPr="00100028">
        <w:rPr>
          <w:rFonts w:asciiTheme="majorBidi" w:hAnsiTheme="majorBidi" w:cstheme="majorBidi"/>
          <w:sz w:val="24"/>
          <w:szCs w:val="24"/>
          <w:lang w:val="en-GB"/>
        </w:rPr>
        <w:t xml:space="preserve">its </w:t>
      </w:r>
      <w:r w:rsidR="00435917" w:rsidRPr="00100028">
        <w:rPr>
          <w:rFonts w:asciiTheme="majorBidi" w:hAnsiTheme="majorBidi" w:cstheme="majorBidi"/>
          <w:sz w:val="24"/>
          <w:szCs w:val="24"/>
          <w:lang w:val="en-GB"/>
        </w:rPr>
        <w:t xml:space="preserve">control over </w:t>
      </w:r>
      <w:r w:rsidR="0042740E" w:rsidRPr="00100028">
        <w:rPr>
          <w:rFonts w:asciiTheme="majorBidi" w:hAnsiTheme="majorBidi" w:cstheme="majorBidi"/>
          <w:sz w:val="24"/>
          <w:szCs w:val="24"/>
          <w:lang w:val="en-GB"/>
        </w:rPr>
        <w:t>Gaza land border</w:t>
      </w:r>
      <w:r w:rsidRPr="00100028">
        <w:rPr>
          <w:rFonts w:asciiTheme="majorBidi" w:hAnsiTheme="majorBidi" w:cstheme="majorBidi"/>
          <w:sz w:val="24"/>
          <w:szCs w:val="24"/>
          <w:lang w:val="en-GB"/>
        </w:rPr>
        <w:t>, airspace</w:t>
      </w:r>
      <w:r w:rsidR="0042740E" w:rsidRPr="00100028">
        <w:rPr>
          <w:rFonts w:asciiTheme="majorBidi" w:hAnsiTheme="majorBidi" w:cstheme="majorBidi"/>
          <w:sz w:val="24"/>
          <w:szCs w:val="24"/>
          <w:lang w:val="en-GB"/>
        </w:rPr>
        <w:t>, and sea</w:t>
      </w:r>
      <w:r w:rsidRPr="00100028">
        <w:rPr>
          <w:rFonts w:asciiTheme="majorBidi" w:hAnsiTheme="majorBidi" w:cstheme="majorBidi"/>
          <w:sz w:val="24"/>
          <w:szCs w:val="24"/>
          <w:lang w:val="en-GB"/>
        </w:rPr>
        <w:t>.</w:t>
      </w:r>
      <w:r w:rsidR="00435917" w:rsidRPr="00100028">
        <w:rPr>
          <w:rStyle w:val="FootnoteReference"/>
          <w:rFonts w:asciiTheme="majorBidi" w:hAnsiTheme="majorBidi" w:cstheme="majorBidi"/>
          <w:sz w:val="24"/>
          <w:szCs w:val="24"/>
          <w:lang w:val="en-GB"/>
        </w:rPr>
        <w:footnoteReference w:id="72"/>
      </w:r>
      <w:r w:rsidRPr="00100028">
        <w:rPr>
          <w:rFonts w:asciiTheme="majorBidi" w:hAnsiTheme="majorBidi" w:cstheme="majorBidi"/>
          <w:sz w:val="24"/>
          <w:szCs w:val="24"/>
          <w:lang w:val="en-GB"/>
        </w:rPr>
        <w:t xml:space="preserve"> Israel, Egy</w:t>
      </w:r>
      <w:r w:rsidR="00435917" w:rsidRPr="00100028">
        <w:rPr>
          <w:rFonts w:asciiTheme="majorBidi" w:hAnsiTheme="majorBidi" w:cstheme="majorBidi"/>
          <w:sz w:val="24"/>
          <w:szCs w:val="24"/>
          <w:lang w:val="en-GB"/>
        </w:rPr>
        <w:t>pt and the PA</w:t>
      </w:r>
      <w:r w:rsidR="00371B22" w:rsidRPr="00100028">
        <w:rPr>
          <w:rFonts w:asciiTheme="majorBidi" w:hAnsiTheme="majorBidi" w:cstheme="majorBidi"/>
          <w:sz w:val="24"/>
          <w:szCs w:val="24"/>
          <w:lang w:val="en-GB"/>
        </w:rPr>
        <w:t xml:space="preserve"> signed an agreement o</w:t>
      </w:r>
      <w:r w:rsidRPr="00100028">
        <w:rPr>
          <w:rFonts w:asciiTheme="majorBidi" w:hAnsiTheme="majorBidi" w:cstheme="majorBidi"/>
          <w:sz w:val="24"/>
          <w:szCs w:val="24"/>
          <w:lang w:val="en-GB"/>
        </w:rPr>
        <w:t xml:space="preserve">n </w:t>
      </w:r>
      <w:r w:rsidR="00371B22" w:rsidRPr="00100028">
        <w:rPr>
          <w:rFonts w:asciiTheme="majorBidi" w:hAnsiTheme="majorBidi" w:cstheme="majorBidi"/>
          <w:sz w:val="24"/>
          <w:szCs w:val="24"/>
          <w:lang w:val="en-GB"/>
        </w:rPr>
        <w:t xml:space="preserve">15 </w:t>
      </w:r>
      <w:r w:rsidRPr="00100028">
        <w:rPr>
          <w:rFonts w:asciiTheme="majorBidi" w:hAnsiTheme="majorBidi" w:cstheme="majorBidi"/>
          <w:sz w:val="24"/>
          <w:szCs w:val="24"/>
          <w:lang w:val="en-GB"/>
        </w:rPr>
        <w:t>November 2005 placing the cross</w:t>
      </w:r>
      <w:r w:rsidR="00435917" w:rsidRPr="00100028">
        <w:rPr>
          <w:rFonts w:asciiTheme="majorBidi" w:hAnsiTheme="majorBidi" w:cstheme="majorBidi"/>
          <w:sz w:val="24"/>
          <w:szCs w:val="24"/>
          <w:lang w:val="en-GB"/>
        </w:rPr>
        <w:t>ing point between Gaza</w:t>
      </w:r>
      <w:r w:rsidRPr="00100028">
        <w:rPr>
          <w:rFonts w:asciiTheme="majorBidi" w:hAnsiTheme="majorBidi" w:cstheme="majorBidi"/>
          <w:sz w:val="24"/>
          <w:szCs w:val="24"/>
          <w:lang w:val="en-GB"/>
        </w:rPr>
        <w:t xml:space="preserve"> and Egypt under joint Egyptian-Palestinian administration, with a European Union </w:t>
      </w:r>
      <w:r w:rsidR="00A232E8" w:rsidRPr="00100028">
        <w:rPr>
          <w:rFonts w:asciiTheme="majorBidi" w:hAnsiTheme="majorBidi" w:cstheme="majorBidi"/>
          <w:sz w:val="24"/>
          <w:szCs w:val="24"/>
          <w:lang w:val="en-GB"/>
        </w:rPr>
        <w:t>monitoring</w:t>
      </w:r>
      <w:r w:rsidRPr="00100028">
        <w:rPr>
          <w:rFonts w:asciiTheme="majorBidi" w:hAnsiTheme="majorBidi" w:cstheme="majorBidi"/>
          <w:sz w:val="24"/>
          <w:szCs w:val="24"/>
          <w:lang w:val="en-GB"/>
        </w:rPr>
        <w:t xml:space="preserve"> and remote</w:t>
      </w:r>
      <w:r w:rsidR="00435917" w:rsidRPr="00100028">
        <w:rPr>
          <w:rFonts w:asciiTheme="majorBidi" w:hAnsiTheme="majorBidi" w:cstheme="majorBidi"/>
          <w:sz w:val="24"/>
          <w:szCs w:val="24"/>
          <w:lang w:val="en-GB"/>
        </w:rPr>
        <w:t xml:space="preserve"> </w:t>
      </w:r>
      <w:r w:rsidR="00463E23" w:rsidRPr="00100028">
        <w:rPr>
          <w:rFonts w:asciiTheme="majorBidi" w:hAnsiTheme="majorBidi" w:cstheme="majorBidi"/>
          <w:sz w:val="24"/>
          <w:szCs w:val="24"/>
          <w:lang w:val="en-GB"/>
        </w:rPr>
        <w:t>Israeli oversight</w:t>
      </w:r>
      <w:r w:rsidRPr="00100028">
        <w:rPr>
          <w:rFonts w:asciiTheme="majorBidi" w:hAnsiTheme="majorBidi" w:cstheme="majorBidi"/>
          <w:sz w:val="24"/>
          <w:szCs w:val="24"/>
          <w:lang w:val="en-GB"/>
        </w:rPr>
        <w:t>.</w:t>
      </w:r>
      <w:r w:rsidR="00435917" w:rsidRPr="00100028">
        <w:rPr>
          <w:rStyle w:val="FootnoteReference"/>
          <w:rFonts w:asciiTheme="majorBidi" w:hAnsiTheme="majorBidi" w:cstheme="majorBidi"/>
          <w:sz w:val="24"/>
          <w:szCs w:val="24"/>
          <w:lang w:val="en-GB"/>
        </w:rPr>
        <w:footnoteReference w:id="73"/>
      </w:r>
      <w:r w:rsidRPr="00100028">
        <w:rPr>
          <w:rFonts w:asciiTheme="majorBidi" w:hAnsiTheme="majorBidi" w:cstheme="majorBidi"/>
          <w:sz w:val="24"/>
          <w:szCs w:val="24"/>
          <w:lang w:val="en-GB"/>
        </w:rPr>
        <w:t xml:space="preserve"> Afte</w:t>
      </w:r>
      <w:r w:rsidR="00435917" w:rsidRPr="00100028">
        <w:rPr>
          <w:rFonts w:asciiTheme="majorBidi" w:hAnsiTheme="majorBidi" w:cstheme="majorBidi"/>
          <w:sz w:val="24"/>
          <w:szCs w:val="24"/>
          <w:lang w:val="en-GB"/>
        </w:rPr>
        <w:t>r Hamas assumed control over Gaza</w:t>
      </w:r>
      <w:r w:rsidRPr="00100028">
        <w:rPr>
          <w:rFonts w:asciiTheme="majorBidi" w:hAnsiTheme="majorBidi" w:cstheme="majorBidi"/>
          <w:sz w:val="24"/>
          <w:szCs w:val="24"/>
          <w:lang w:val="en-GB"/>
        </w:rPr>
        <w:t xml:space="preserve"> in June 2007, Israel</w:t>
      </w:r>
      <w:r w:rsidR="004219BD" w:rsidRPr="00100028">
        <w:rPr>
          <w:rFonts w:asciiTheme="majorBidi" w:hAnsiTheme="majorBidi" w:cstheme="majorBidi"/>
          <w:sz w:val="24"/>
          <w:szCs w:val="24"/>
          <w:lang w:val="en-GB"/>
        </w:rPr>
        <w:t xml:space="preserve"> tightened </w:t>
      </w:r>
      <w:r w:rsidR="007A15F7" w:rsidRPr="00100028">
        <w:rPr>
          <w:rFonts w:asciiTheme="majorBidi" w:hAnsiTheme="majorBidi" w:cstheme="majorBidi"/>
          <w:sz w:val="24"/>
          <w:szCs w:val="24"/>
          <w:lang w:val="en-GB"/>
        </w:rPr>
        <w:t>its</w:t>
      </w:r>
      <w:r w:rsidR="00435917" w:rsidRPr="00100028">
        <w:rPr>
          <w:rFonts w:asciiTheme="majorBidi" w:hAnsiTheme="majorBidi" w:cstheme="majorBidi"/>
          <w:sz w:val="24"/>
          <w:szCs w:val="24"/>
          <w:lang w:val="en-GB"/>
        </w:rPr>
        <w:t xml:space="preserve"> blockade</w:t>
      </w:r>
      <w:r w:rsidRPr="00100028">
        <w:rPr>
          <w:rFonts w:asciiTheme="majorBidi" w:hAnsiTheme="majorBidi" w:cstheme="majorBidi"/>
          <w:sz w:val="24"/>
          <w:szCs w:val="24"/>
          <w:lang w:val="en-GB"/>
        </w:rPr>
        <w:t>.</w:t>
      </w:r>
      <w:r w:rsidR="00435917" w:rsidRPr="00100028">
        <w:rPr>
          <w:rStyle w:val="FootnoteReference"/>
          <w:rFonts w:asciiTheme="majorBidi" w:hAnsiTheme="majorBidi" w:cstheme="majorBidi"/>
          <w:sz w:val="24"/>
          <w:szCs w:val="24"/>
          <w:lang w:val="en-GB"/>
        </w:rPr>
        <w:footnoteReference w:id="74"/>
      </w:r>
      <w:r w:rsidRPr="00100028">
        <w:rPr>
          <w:rFonts w:asciiTheme="majorBidi" w:hAnsiTheme="majorBidi" w:cstheme="majorBidi"/>
          <w:sz w:val="24"/>
          <w:szCs w:val="24"/>
          <w:lang w:val="en-GB"/>
        </w:rPr>
        <w:t xml:space="preserve"> </w:t>
      </w:r>
      <w:r w:rsidR="007A15F7" w:rsidRPr="00100028">
        <w:rPr>
          <w:rFonts w:asciiTheme="majorBidi" w:hAnsiTheme="majorBidi" w:cstheme="majorBidi"/>
          <w:sz w:val="24"/>
          <w:szCs w:val="24"/>
          <w:lang w:val="en-GB"/>
        </w:rPr>
        <w:t>Egypt took control of the border crossing and unilaterally decides when to open or to close it, often arbitrarily.</w:t>
      </w:r>
      <w:r w:rsidR="007A15F7" w:rsidRPr="00100028">
        <w:rPr>
          <w:rStyle w:val="FootnoteReference"/>
          <w:rFonts w:asciiTheme="majorBidi" w:hAnsiTheme="majorBidi" w:cstheme="majorBidi"/>
          <w:sz w:val="24"/>
          <w:szCs w:val="24"/>
          <w:lang w:val="en-GB"/>
        </w:rPr>
        <w:footnoteReference w:id="75"/>
      </w:r>
      <w:r w:rsidR="007A15F7" w:rsidRPr="00100028">
        <w:rPr>
          <w:rFonts w:asciiTheme="majorBidi" w:hAnsiTheme="majorBidi" w:cstheme="majorBidi"/>
          <w:sz w:val="24"/>
          <w:szCs w:val="24"/>
          <w:lang w:val="en-GB"/>
        </w:rPr>
        <w:t xml:space="preserve"> In response, Gazans erected tunnels with Egypt, which were used to smuggle goods and persons between the two sides of the border. </w:t>
      </w:r>
      <w:r w:rsidR="00576478" w:rsidRPr="00100028">
        <w:rPr>
          <w:rFonts w:asciiTheme="majorBidi" w:hAnsiTheme="majorBidi" w:cstheme="majorBidi"/>
          <w:sz w:val="24"/>
          <w:szCs w:val="24"/>
          <w:lang w:val="en-GB"/>
        </w:rPr>
        <w:t>However, the border crossing opens</w:t>
      </w:r>
      <w:r w:rsidRPr="00100028">
        <w:rPr>
          <w:rFonts w:asciiTheme="majorBidi" w:hAnsiTheme="majorBidi" w:cstheme="majorBidi"/>
          <w:sz w:val="24"/>
          <w:szCs w:val="24"/>
          <w:lang w:val="en-GB"/>
        </w:rPr>
        <w:t xml:space="preserve"> from time to time. The inhabitants, notwithstanding the recent difficulties, have been able to travel abroad using Palestinian passports a</w:t>
      </w:r>
      <w:r w:rsidR="00435917" w:rsidRPr="00100028">
        <w:rPr>
          <w:rFonts w:asciiTheme="majorBidi" w:hAnsiTheme="majorBidi" w:cstheme="majorBidi"/>
          <w:sz w:val="24"/>
          <w:szCs w:val="24"/>
          <w:lang w:val="en-GB"/>
        </w:rPr>
        <w:t>s in the case of the West Bank.</w:t>
      </w:r>
      <w:r w:rsidR="007A15F7" w:rsidRPr="00100028">
        <w:rPr>
          <w:rStyle w:val="FootnoteReference"/>
          <w:rFonts w:asciiTheme="majorBidi" w:hAnsiTheme="majorBidi" w:cstheme="majorBidi"/>
          <w:sz w:val="24"/>
          <w:szCs w:val="24"/>
          <w:lang w:val="en-GB"/>
        </w:rPr>
        <w:footnoteReference w:id="76"/>
      </w:r>
    </w:p>
    <w:p w:rsidR="00A52788" w:rsidRPr="00100028" w:rsidRDefault="00A52788" w:rsidP="00100028">
      <w:pPr>
        <w:bidi w:val="0"/>
        <w:jc w:val="both"/>
        <w:rPr>
          <w:rFonts w:asciiTheme="majorBidi" w:hAnsiTheme="majorBidi" w:cstheme="majorBidi"/>
          <w:sz w:val="24"/>
          <w:szCs w:val="24"/>
          <w:lang w:val="en-GB"/>
        </w:rPr>
      </w:pPr>
    </w:p>
    <w:p w:rsidR="005C6DBB" w:rsidRPr="00100028" w:rsidRDefault="005C6DBB"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It is to be noted that after the t</w:t>
      </w:r>
      <w:r w:rsidR="00435917" w:rsidRPr="00100028">
        <w:rPr>
          <w:rFonts w:asciiTheme="majorBidi" w:hAnsiTheme="majorBidi" w:cstheme="majorBidi"/>
          <w:sz w:val="24"/>
          <w:szCs w:val="24"/>
          <w:lang w:val="en-GB"/>
        </w:rPr>
        <w:t>akeover of Gaza by Hamas</w:t>
      </w:r>
      <w:r w:rsidRPr="00100028">
        <w:rPr>
          <w:rFonts w:asciiTheme="majorBidi" w:hAnsiTheme="majorBidi" w:cstheme="majorBidi"/>
          <w:sz w:val="24"/>
          <w:szCs w:val="24"/>
          <w:lang w:val="en-GB"/>
        </w:rPr>
        <w:t xml:space="preserve">, and particularly during the </w:t>
      </w:r>
      <w:r w:rsidR="00F94070" w:rsidRPr="00100028">
        <w:rPr>
          <w:rFonts w:asciiTheme="majorBidi" w:hAnsiTheme="majorBidi" w:cstheme="majorBidi"/>
          <w:sz w:val="24"/>
          <w:szCs w:val="24"/>
          <w:lang w:val="en-GB"/>
        </w:rPr>
        <w:t>period 2011-2013</w:t>
      </w:r>
      <w:r w:rsidR="00435917" w:rsidRPr="00100028">
        <w:rPr>
          <w:rFonts w:asciiTheme="majorBidi" w:hAnsiTheme="majorBidi" w:cstheme="majorBidi"/>
          <w:sz w:val="24"/>
          <w:szCs w:val="24"/>
          <w:lang w:val="en-GB"/>
        </w:rPr>
        <w:t xml:space="preserve"> </w:t>
      </w:r>
      <w:r w:rsidR="00F94070" w:rsidRPr="00100028">
        <w:rPr>
          <w:rFonts w:asciiTheme="majorBidi" w:hAnsiTheme="majorBidi" w:cstheme="majorBidi"/>
          <w:sz w:val="24"/>
          <w:szCs w:val="24"/>
          <w:lang w:val="en-GB"/>
        </w:rPr>
        <w:t>(</w:t>
      </w:r>
      <w:r w:rsidR="00435917" w:rsidRPr="00100028">
        <w:rPr>
          <w:rFonts w:asciiTheme="majorBidi" w:hAnsiTheme="majorBidi" w:cstheme="majorBidi"/>
          <w:sz w:val="24"/>
          <w:szCs w:val="24"/>
          <w:lang w:val="en-GB"/>
        </w:rPr>
        <w:t>Egypt</w:t>
      </w:r>
      <w:r w:rsidR="00F94070" w:rsidRPr="00100028">
        <w:rPr>
          <w:rFonts w:asciiTheme="majorBidi" w:hAnsiTheme="majorBidi" w:cstheme="majorBidi"/>
          <w:sz w:val="24"/>
          <w:szCs w:val="24"/>
          <w:lang w:val="en-GB"/>
        </w:rPr>
        <w:t>ian</w:t>
      </w:r>
      <w:r w:rsidR="00435917" w:rsidRPr="00100028">
        <w:rPr>
          <w:rFonts w:asciiTheme="majorBidi" w:hAnsiTheme="majorBidi" w:cstheme="majorBidi"/>
          <w:sz w:val="24"/>
          <w:szCs w:val="24"/>
          <w:lang w:val="en-GB"/>
        </w:rPr>
        <w:t xml:space="preserve"> </w:t>
      </w:r>
      <w:r w:rsidRPr="00100028">
        <w:rPr>
          <w:rFonts w:asciiTheme="majorBidi" w:hAnsiTheme="majorBidi" w:cstheme="majorBidi"/>
          <w:sz w:val="24"/>
          <w:szCs w:val="24"/>
          <w:lang w:val="en-GB"/>
        </w:rPr>
        <w:t>revolution and subsequently of the rule</w:t>
      </w:r>
      <w:r w:rsidR="00F94070" w:rsidRPr="00100028">
        <w:rPr>
          <w:rFonts w:asciiTheme="majorBidi" w:hAnsiTheme="majorBidi" w:cstheme="majorBidi"/>
          <w:sz w:val="24"/>
          <w:szCs w:val="24"/>
          <w:lang w:val="en-GB"/>
        </w:rPr>
        <w:t xml:space="preserve"> of Islamic Brotherhood)</w:t>
      </w:r>
      <w:r w:rsidR="00D95640" w:rsidRPr="00100028">
        <w:rPr>
          <w:rFonts w:asciiTheme="majorBidi" w:hAnsiTheme="majorBidi" w:cstheme="majorBidi"/>
          <w:sz w:val="24"/>
          <w:szCs w:val="24"/>
          <w:lang w:val="en-GB"/>
        </w:rPr>
        <w:t>, hundreds</w:t>
      </w:r>
      <w:r w:rsidRPr="00100028">
        <w:rPr>
          <w:rFonts w:asciiTheme="majorBidi" w:hAnsiTheme="majorBidi" w:cstheme="majorBidi"/>
          <w:sz w:val="24"/>
          <w:szCs w:val="24"/>
          <w:lang w:val="en-GB"/>
        </w:rPr>
        <w:t xml:space="preserve"> of people wer</w:t>
      </w:r>
      <w:r w:rsidR="00F94070" w:rsidRPr="00100028">
        <w:rPr>
          <w:rFonts w:asciiTheme="majorBidi" w:hAnsiTheme="majorBidi" w:cstheme="majorBidi"/>
          <w:sz w:val="24"/>
          <w:szCs w:val="24"/>
          <w:lang w:val="en-GB"/>
        </w:rPr>
        <w:t>e able to land in Gaza</w:t>
      </w:r>
      <w:r w:rsidRPr="00100028">
        <w:rPr>
          <w:rFonts w:asciiTheme="majorBidi" w:hAnsiTheme="majorBidi" w:cstheme="majorBidi"/>
          <w:sz w:val="24"/>
          <w:szCs w:val="24"/>
          <w:lang w:val="en-GB"/>
        </w:rPr>
        <w:t>, mostly through tunnels</w:t>
      </w:r>
      <w:r w:rsidR="00F94070" w:rsidRPr="00100028">
        <w:rPr>
          <w:rFonts w:asciiTheme="majorBidi" w:hAnsiTheme="majorBidi" w:cstheme="majorBidi"/>
          <w:sz w:val="24"/>
          <w:szCs w:val="24"/>
          <w:lang w:val="en-GB"/>
        </w:rPr>
        <w:t xml:space="preserve"> erected on</w:t>
      </w:r>
      <w:r w:rsidR="00B639A8" w:rsidRPr="00100028">
        <w:rPr>
          <w:rFonts w:asciiTheme="majorBidi" w:hAnsiTheme="majorBidi" w:cstheme="majorBidi"/>
          <w:sz w:val="24"/>
          <w:szCs w:val="24"/>
          <w:lang w:val="en-GB"/>
        </w:rPr>
        <w:t xml:space="preserve"> border</w:t>
      </w:r>
      <w:r w:rsidRPr="00100028">
        <w:rPr>
          <w:rFonts w:asciiTheme="majorBidi" w:hAnsiTheme="majorBidi" w:cstheme="majorBidi"/>
          <w:sz w:val="24"/>
          <w:szCs w:val="24"/>
          <w:lang w:val="en-GB"/>
        </w:rPr>
        <w:t>.</w:t>
      </w:r>
      <w:r w:rsidR="00F94070" w:rsidRPr="00100028">
        <w:rPr>
          <w:rStyle w:val="FootnoteReference"/>
          <w:rFonts w:asciiTheme="majorBidi" w:hAnsiTheme="majorBidi" w:cstheme="majorBidi"/>
          <w:sz w:val="24"/>
          <w:szCs w:val="24"/>
          <w:lang w:val="en-GB"/>
        </w:rPr>
        <w:footnoteReference w:id="77"/>
      </w:r>
      <w:r w:rsidRPr="00100028">
        <w:rPr>
          <w:rFonts w:asciiTheme="majorBidi" w:hAnsiTheme="majorBidi" w:cstheme="majorBidi"/>
          <w:sz w:val="24"/>
          <w:szCs w:val="24"/>
          <w:lang w:val="en-GB"/>
        </w:rPr>
        <w:t xml:space="preserve"> Most of these people are either </w:t>
      </w:r>
      <w:r w:rsidR="00D95640" w:rsidRPr="00100028">
        <w:rPr>
          <w:rFonts w:asciiTheme="majorBidi" w:hAnsiTheme="majorBidi" w:cstheme="majorBidi"/>
          <w:sz w:val="24"/>
          <w:szCs w:val="24"/>
          <w:lang w:val="en-GB"/>
        </w:rPr>
        <w:t xml:space="preserve">originally </w:t>
      </w:r>
      <w:r w:rsidRPr="00100028">
        <w:rPr>
          <w:rFonts w:asciiTheme="majorBidi" w:hAnsiTheme="majorBidi" w:cstheme="majorBidi"/>
          <w:sz w:val="24"/>
          <w:szCs w:val="24"/>
          <w:lang w:val="en-GB"/>
        </w:rPr>
        <w:t xml:space="preserve">Palestinian refugees displaced </w:t>
      </w:r>
      <w:r w:rsidR="00D95640" w:rsidRPr="00100028">
        <w:rPr>
          <w:rFonts w:asciiTheme="majorBidi" w:hAnsiTheme="majorBidi" w:cstheme="majorBidi"/>
          <w:sz w:val="24"/>
          <w:szCs w:val="24"/>
          <w:lang w:val="en-GB"/>
        </w:rPr>
        <w:t xml:space="preserve">again </w:t>
      </w:r>
      <w:r w:rsidR="00A13C4E" w:rsidRPr="00100028">
        <w:rPr>
          <w:rFonts w:asciiTheme="majorBidi" w:hAnsiTheme="majorBidi" w:cstheme="majorBidi"/>
          <w:sz w:val="24"/>
          <w:szCs w:val="24"/>
          <w:lang w:val="en-GB"/>
        </w:rPr>
        <w:t xml:space="preserve">as </w:t>
      </w:r>
      <w:r w:rsidRPr="00100028">
        <w:rPr>
          <w:rFonts w:asciiTheme="majorBidi" w:hAnsiTheme="majorBidi" w:cstheme="majorBidi"/>
          <w:sz w:val="24"/>
          <w:szCs w:val="24"/>
          <w:lang w:val="en-GB"/>
        </w:rPr>
        <w:t>a result of war in Syria or Syrian refugees.</w:t>
      </w:r>
      <w:r w:rsidR="000826D7" w:rsidRPr="00100028">
        <w:rPr>
          <w:rStyle w:val="FootnoteReference"/>
          <w:rFonts w:asciiTheme="majorBidi" w:hAnsiTheme="majorBidi" w:cstheme="majorBidi"/>
          <w:sz w:val="24"/>
          <w:szCs w:val="24"/>
          <w:lang w:val="en-GB"/>
        </w:rPr>
        <w:footnoteReference w:id="78"/>
      </w:r>
      <w:r w:rsidRPr="00100028">
        <w:rPr>
          <w:rFonts w:asciiTheme="majorBidi" w:hAnsiTheme="majorBidi" w:cstheme="majorBidi"/>
          <w:sz w:val="24"/>
          <w:szCs w:val="24"/>
          <w:lang w:val="en-GB"/>
        </w:rPr>
        <w:t xml:space="preserve"> </w:t>
      </w:r>
      <w:r w:rsidR="00D95640" w:rsidRPr="00100028">
        <w:rPr>
          <w:rFonts w:asciiTheme="majorBidi" w:hAnsiTheme="majorBidi" w:cstheme="majorBidi"/>
          <w:sz w:val="24"/>
          <w:szCs w:val="24"/>
          <w:lang w:val="en-GB"/>
        </w:rPr>
        <w:t xml:space="preserve">While receiving assistance from </w:t>
      </w:r>
      <w:r w:rsidR="00431511" w:rsidRPr="00100028">
        <w:rPr>
          <w:rFonts w:asciiTheme="majorBidi" w:hAnsiTheme="majorBidi" w:cstheme="majorBidi"/>
          <w:sz w:val="24"/>
          <w:szCs w:val="24"/>
          <w:lang w:val="en-GB"/>
        </w:rPr>
        <w:t>the United Nations Relief and Works Agency for Palestine Refugees in the Near East (UNRWA),</w:t>
      </w:r>
      <w:r w:rsidR="000826D7" w:rsidRPr="00100028">
        <w:rPr>
          <w:rStyle w:val="FootnoteReference"/>
          <w:rFonts w:asciiTheme="majorBidi" w:hAnsiTheme="majorBidi" w:cstheme="majorBidi"/>
          <w:sz w:val="24"/>
          <w:szCs w:val="24"/>
          <w:lang w:val="en-GB"/>
        </w:rPr>
        <w:footnoteReference w:id="79"/>
      </w:r>
      <w:r w:rsidR="00D95640" w:rsidRPr="00100028">
        <w:rPr>
          <w:rFonts w:asciiTheme="majorBidi" w:hAnsiTheme="majorBidi" w:cstheme="majorBidi"/>
          <w:sz w:val="24"/>
          <w:szCs w:val="24"/>
          <w:lang w:val="en-GB"/>
        </w:rPr>
        <w:t xml:space="preserve"> </w:t>
      </w:r>
      <w:r w:rsidR="00431511" w:rsidRPr="00100028">
        <w:rPr>
          <w:rFonts w:asciiTheme="majorBidi" w:hAnsiTheme="majorBidi" w:cstheme="majorBidi"/>
          <w:sz w:val="24"/>
          <w:szCs w:val="24"/>
          <w:lang w:val="en-GB"/>
        </w:rPr>
        <w:t xml:space="preserve">on de facto basis, </w:t>
      </w:r>
      <w:r w:rsidR="00D95640" w:rsidRPr="00100028">
        <w:rPr>
          <w:rFonts w:asciiTheme="majorBidi" w:hAnsiTheme="majorBidi" w:cstheme="majorBidi"/>
          <w:sz w:val="24"/>
          <w:szCs w:val="24"/>
          <w:lang w:val="en-GB"/>
        </w:rPr>
        <w:t xml:space="preserve">and </w:t>
      </w:r>
      <w:r w:rsidR="000826D7" w:rsidRPr="00100028">
        <w:rPr>
          <w:rFonts w:asciiTheme="majorBidi" w:hAnsiTheme="majorBidi" w:cstheme="majorBidi"/>
          <w:sz w:val="24"/>
          <w:szCs w:val="24"/>
          <w:lang w:val="en-GB"/>
        </w:rPr>
        <w:t>from local</w:t>
      </w:r>
      <w:r w:rsidR="00D95640" w:rsidRPr="00100028">
        <w:rPr>
          <w:rFonts w:asciiTheme="majorBidi" w:hAnsiTheme="majorBidi" w:cstheme="majorBidi"/>
          <w:sz w:val="24"/>
          <w:szCs w:val="24"/>
          <w:lang w:val="en-GB"/>
        </w:rPr>
        <w:t xml:space="preserve"> authorities</w:t>
      </w:r>
      <w:r w:rsidR="000826D7" w:rsidRPr="00100028">
        <w:rPr>
          <w:rFonts w:asciiTheme="majorBidi" w:hAnsiTheme="majorBidi" w:cstheme="majorBidi"/>
          <w:sz w:val="24"/>
          <w:szCs w:val="24"/>
          <w:lang w:val="en-GB"/>
        </w:rPr>
        <w:t>,</w:t>
      </w:r>
      <w:r w:rsidR="00D95640" w:rsidRPr="00100028">
        <w:rPr>
          <w:rFonts w:asciiTheme="majorBidi" w:hAnsiTheme="majorBidi" w:cstheme="majorBidi"/>
          <w:sz w:val="24"/>
          <w:szCs w:val="24"/>
          <w:lang w:val="en-GB"/>
        </w:rPr>
        <w:t xml:space="preserve"> </w:t>
      </w:r>
      <w:r w:rsidR="000826D7" w:rsidRPr="00100028">
        <w:rPr>
          <w:rFonts w:asciiTheme="majorBidi" w:hAnsiTheme="majorBidi" w:cstheme="majorBidi"/>
          <w:sz w:val="24"/>
          <w:szCs w:val="24"/>
          <w:lang w:val="en-GB"/>
        </w:rPr>
        <w:t>t</w:t>
      </w:r>
      <w:r w:rsidRPr="00100028">
        <w:rPr>
          <w:rFonts w:asciiTheme="majorBidi" w:hAnsiTheme="majorBidi" w:cstheme="majorBidi"/>
          <w:sz w:val="24"/>
          <w:szCs w:val="24"/>
          <w:lang w:val="en-GB"/>
        </w:rPr>
        <w:t>he situation of this group of people would remain undermined until an agreed upon solution for them is adopted</w:t>
      </w:r>
      <w:r w:rsidR="00BE68BE" w:rsidRPr="00100028">
        <w:rPr>
          <w:rFonts w:asciiTheme="majorBidi" w:hAnsiTheme="majorBidi" w:cstheme="majorBidi"/>
          <w:sz w:val="24"/>
          <w:szCs w:val="24"/>
          <w:lang w:val="en-GB"/>
        </w:rPr>
        <w:t xml:space="preserve"> or until they return to Syria</w:t>
      </w:r>
      <w:r w:rsidRPr="00100028">
        <w:rPr>
          <w:rFonts w:asciiTheme="majorBidi" w:hAnsiTheme="majorBidi" w:cstheme="majorBidi"/>
          <w:sz w:val="24"/>
          <w:szCs w:val="24"/>
          <w:lang w:val="en-GB"/>
        </w:rPr>
        <w:t xml:space="preserve">. They will constitute de facto residents of Gaza (as Hamas accepts their residency) but it might be difficult for them to leave Gaza or obtain travel documents </w:t>
      </w:r>
      <w:r w:rsidR="00BE68BE" w:rsidRPr="00100028">
        <w:rPr>
          <w:rFonts w:asciiTheme="majorBidi" w:hAnsiTheme="majorBidi" w:cstheme="majorBidi"/>
          <w:sz w:val="24"/>
          <w:szCs w:val="24"/>
          <w:lang w:val="en-GB"/>
        </w:rPr>
        <w:t>or passports that</w:t>
      </w:r>
      <w:r w:rsidRPr="00100028">
        <w:rPr>
          <w:rFonts w:asciiTheme="majorBidi" w:hAnsiTheme="majorBidi" w:cstheme="majorBidi"/>
          <w:sz w:val="24"/>
          <w:szCs w:val="24"/>
          <w:lang w:val="en-GB"/>
        </w:rPr>
        <w:t xml:space="preserve"> enable them to leave </w:t>
      </w:r>
      <w:r w:rsidR="00F94070" w:rsidRPr="00100028">
        <w:rPr>
          <w:rFonts w:asciiTheme="majorBidi" w:hAnsiTheme="majorBidi" w:cstheme="majorBidi"/>
          <w:sz w:val="24"/>
          <w:szCs w:val="24"/>
          <w:lang w:val="en-GB"/>
        </w:rPr>
        <w:t>Gaza and return to it</w:t>
      </w:r>
      <w:r w:rsidRPr="00100028">
        <w:rPr>
          <w:rFonts w:asciiTheme="majorBidi" w:hAnsiTheme="majorBidi" w:cstheme="majorBidi"/>
          <w:sz w:val="24"/>
          <w:szCs w:val="24"/>
          <w:lang w:val="en-GB"/>
        </w:rPr>
        <w:t>.</w:t>
      </w:r>
    </w:p>
    <w:p w:rsidR="005C6DBB" w:rsidRPr="00100028" w:rsidRDefault="005C6DBB"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A word must be added</w:t>
      </w:r>
      <w:r w:rsidR="00F94070" w:rsidRPr="00100028">
        <w:rPr>
          <w:rFonts w:asciiTheme="majorBidi" w:hAnsiTheme="majorBidi" w:cstheme="majorBidi"/>
          <w:sz w:val="24"/>
          <w:szCs w:val="24"/>
          <w:lang w:val="en-GB"/>
        </w:rPr>
        <w:t xml:space="preserve"> concerning</w:t>
      </w:r>
      <w:r w:rsidR="004D41D2" w:rsidRPr="00100028">
        <w:rPr>
          <w:rFonts w:asciiTheme="majorBidi" w:hAnsiTheme="majorBidi" w:cstheme="majorBidi"/>
          <w:sz w:val="24"/>
          <w:szCs w:val="24"/>
          <w:lang w:val="en-GB"/>
        </w:rPr>
        <w:t xml:space="preserve"> the status</w:t>
      </w:r>
      <w:r w:rsidRPr="00100028">
        <w:rPr>
          <w:rFonts w:asciiTheme="majorBidi" w:hAnsiTheme="majorBidi" w:cstheme="majorBidi"/>
          <w:sz w:val="24"/>
          <w:szCs w:val="24"/>
          <w:lang w:val="en-GB"/>
        </w:rPr>
        <w:t xml:space="preserve"> </w:t>
      </w:r>
      <w:r w:rsidR="004D41D2" w:rsidRPr="00100028">
        <w:rPr>
          <w:rFonts w:asciiTheme="majorBidi" w:hAnsiTheme="majorBidi" w:cstheme="majorBidi"/>
          <w:sz w:val="24"/>
          <w:szCs w:val="24"/>
          <w:lang w:val="en-GB"/>
        </w:rPr>
        <w:t xml:space="preserve">of the </w:t>
      </w:r>
      <w:r w:rsidR="00F94070" w:rsidRPr="00100028">
        <w:rPr>
          <w:rFonts w:asciiTheme="majorBidi" w:hAnsiTheme="majorBidi" w:cstheme="majorBidi"/>
          <w:sz w:val="24"/>
          <w:szCs w:val="24"/>
          <w:lang w:val="en-GB"/>
        </w:rPr>
        <w:t>Gaza</w:t>
      </w:r>
      <w:r w:rsidR="004D41D2" w:rsidRPr="00100028">
        <w:rPr>
          <w:rFonts w:asciiTheme="majorBidi" w:hAnsiTheme="majorBidi" w:cstheme="majorBidi"/>
          <w:sz w:val="24"/>
          <w:szCs w:val="24"/>
          <w:lang w:val="en-GB"/>
        </w:rPr>
        <w:t>ns in</w:t>
      </w:r>
      <w:r w:rsidRPr="00100028">
        <w:rPr>
          <w:rFonts w:asciiTheme="majorBidi" w:hAnsiTheme="majorBidi" w:cstheme="majorBidi"/>
          <w:sz w:val="24"/>
          <w:szCs w:val="24"/>
          <w:lang w:val="en-GB"/>
        </w:rPr>
        <w:t xml:space="preserve"> the West Bank</w:t>
      </w:r>
      <w:r w:rsidR="004D41D2" w:rsidRPr="00100028">
        <w:rPr>
          <w:rFonts w:asciiTheme="majorBidi" w:hAnsiTheme="majorBidi" w:cstheme="majorBidi"/>
          <w:sz w:val="24"/>
          <w:szCs w:val="24"/>
          <w:lang w:val="en-GB"/>
        </w:rPr>
        <w:t xml:space="preserve"> and the West Bankers in Gaza</w:t>
      </w:r>
      <w:r w:rsidRPr="00100028">
        <w:rPr>
          <w:rFonts w:asciiTheme="majorBidi" w:hAnsiTheme="majorBidi" w:cstheme="majorBidi"/>
          <w:sz w:val="24"/>
          <w:szCs w:val="24"/>
          <w:lang w:val="en-GB"/>
        </w:rPr>
        <w:t xml:space="preserve">. </w:t>
      </w:r>
      <w:r w:rsidR="00C50D58" w:rsidRPr="00100028">
        <w:rPr>
          <w:rFonts w:asciiTheme="majorBidi" w:hAnsiTheme="majorBidi" w:cstheme="majorBidi"/>
          <w:sz w:val="24"/>
          <w:szCs w:val="24"/>
          <w:lang w:val="en-GB"/>
        </w:rPr>
        <w:t xml:space="preserve">When the West Bank and Gaza were under Jordan and Egypt rules, respectively, the two regions were practically separated from 1948 until 1967. </w:t>
      </w:r>
      <w:r w:rsidR="00C50D58" w:rsidRPr="00100028">
        <w:rPr>
          <w:rFonts w:asciiTheme="majorBidi" w:hAnsiTheme="majorBidi" w:cstheme="majorBidi"/>
          <w:sz w:val="24"/>
          <w:szCs w:val="24"/>
          <w:lang w:val="en-GB"/>
        </w:rPr>
        <w:lastRenderedPageBreak/>
        <w:t>After its occupation of the two regions in June 1967, Israel permitted movement between the two areas.</w:t>
      </w:r>
      <w:r w:rsidR="00FD5249" w:rsidRPr="00100028">
        <w:rPr>
          <w:rStyle w:val="FootnoteReference"/>
          <w:rFonts w:asciiTheme="majorBidi" w:hAnsiTheme="majorBidi" w:cstheme="majorBidi"/>
          <w:sz w:val="24"/>
          <w:szCs w:val="24"/>
          <w:lang w:val="en-GB"/>
        </w:rPr>
        <w:footnoteReference w:id="80"/>
      </w:r>
      <w:r w:rsidR="00C50D58" w:rsidRPr="00100028">
        <w:rPr>
          <w:rFonts w:asciiTheme="majorBidi" w:hAnsiTheme="majorBidi" w:cstheme="majorBidi"/>
          <w:sz w:val="24"/>
          <w:szCs w:val="24"/>
          <w:lang w:val="en-GB"/>
        </w:rPr>
        <w:t xml:space="preserve"> </w:t>
      </w:r>
      <w:r w:rsidR="004D41D2" w:rsidRPr="00100028">
        <w:rPr>
          <w:rFonts w:asciiTheme="majorBidi" w:hAnsiTheme="majorBidi" w:cstheme="majorBidi"/>
          <w:sz w:val="24"/>
          <w:szCs w:val="24"/>
          <w:lang w:val="en-GB"/>
        </w:rPr>
        <w:t xml:space="preserve">However, </w:t>
      </w:r>
      <w:r w:rsidRPr="00100028">
        <w:rPr>
          <w:rFonts w:asciiTheme="majorBidi" w:hAnsiTheme="majorBidi" w:cstheme="majorBidi"/>
          <w:sz w:val="24"/>
          <w:szCs w:val="24"/>
          <w:lang w:val="en-GB"/>
        </w:rPr>
        <w:t>Israel</w:t>
      </w:r>
      <w:r w:rsidR="00F94070" w:rsidRPr="00100028">
        <w:rPr>
          <w:rFonts w:asciiTheme="majorBidi" w:hAnsiTheme="majorBidi" w:cstheme="majorBidi"/>
          <w:sz w:val="24"/>
          <w:szCs w:val="24"/>
          <w:lang w:val="en-GB"/>
        </w:rPr>
        <w:t xml:space="preserve"> </w:t>
      </w:r>
      <w:r w:rsidR="003C6976" w:rsidRPr="00100028">
        <w:rPr>
          <w:rFonts w:asciiTheme="majorBidi" w:hAnsiTheme="majorBidi" w:cstheme="majorBidi"/>
          <w:sz w:val="24"/>
          <w:szCs w:val="24"/>
          <w:lang w:val="en-GB"/>
        </w:rPr>
        <w:t>suspended the movement between the two areas</w:t>
      </w:r>
      <w:r w:rsidR="00C50D58" w:rsidRPr="00100028">
        <w:rPr>
          <w:rFonts w:asciiTheme="majorBidi" w:hAnsiTheme="majorBidi" w:cstheme="majorBidi"/>
          <w:sz w:val="24"/>
          <w:szCs w:val="24"/>
          <w:lang w:val="en-GB"/>
        </w:rPr>
        <w:t xml:space="preserve"> </w:t>
      </w:r>
      <w:r w:rsidR="004D41D2" w:rsidRPr="00100028">
        <w:rPr>
          <w:rFonts w:asciiTheme="majorBidi" w:hAnsiTheme="majorBidi" w:cstheme="majorBidi"/>
          <w:sz w:val="24"/>
          <w:szCs w:val="24"/>
          <w:lang w:val="en-GB"/>
        </w:rPr>
        <w:t xml:space="preserve">after </w:t>
      </w:r>
      <w:r w:rsidR="00C50D58" w:rsidRPr="00100028">
        <w:rPr>
          <w:rFonts w:asciiTheme="majorBidi" w:hAnsiTheme="majorBidi" w:cstheme="majorBidi"/>
          <w:sz w:val="24"/>
          <w:szCs w:val="24"/>
          <w:lang w:val="en-GB"/>
        </w:rPr>
        <w:t>the outbreak of the first uprising (</w:t>
      </w:r>
      <w:r w:rsidR="00C50D58" w:rsidRPr="00100028">
        <w:rPr>
          <w:rFonts w:asciiTheme="majorBidi" w:hAnsiTheme="majorBidi" w:cstheme="majorBidi"/>
          <w:i/>
          <w:iCs/>
          <w:sz w:val="24"/>
          <w:szCs w:val="24"/>
          <w:lang w:val="en-GB"/>
        </w:rPr>
        <w:t>intifada</w:t>
      </w:r>
      <w:r w:rsidR="00C50D58" w:rsidRPr="00100028">
        <w:rPr>
          <w:rFonts w:asciiTheme="majorBidi" w:hAnsiTheme="majorBidi" w:cstheme="majorBidi"/>
          <w:sz w:val="24"/>
          <w:szCs w:val="24"/>
          <w:lang w:val="en-GB"/>
        </w:rPr>
        <w:t>) in 1987</w:t>
      </w:r>
      <w:r w:rsidR="003C6976" w:rsidRPr="00100028">
        <w:rPr>
          <w:rFonts w:asciiTheme="majorBidi" w:hAnsiTheme="majorBidi" w:cstheme="majorBidi"/>
          <w:sz w:val="24"/>
          <w:szCs w:val="24"/>
          <w:lang w:val="en-GB"/>
        </w:rPr>
        <w:t>.</w:t>
      </w:r>
      <w:r w:rsidR="003C6976" w:rsidRPr="00100028">
        <w:rPr>
          <w:rStyle w:val="FootnoteReference"/>
          <w:rFonts w:asciiTheme="majorBidi" w:hAnsiTheme="majorBidi" w:cstheme="majorBidi"/>
          <w:sz w:val="24"/>
          <w:szCs w:val="24"/>
          <w:lang w:val="en-GB"/>
        </w:rPr>
        <w:footnoteReference w:id="81"/>
      </w:r>
      <w:r w:rsidR="003C6976" w:rsidRPr="00100028">
        <w:rPr>
          <w:rFonts w:asciiTheme="majorBidi" w:hAnsiTheme="majorBidi" w:cstheme="majorBidi"/>
          <w:sz w:val="24"/>
          <w:szCs w:val="24"/>
          <w:lang w:val="en-GB"/>
        </w:rPr>
        <w:t xml:space="preserve"> The separation </w:t>
      </w:r>
      <w:r w:rsidR="004D41D2" w:rsidRPr="00100028">
        <w:rPr>
          <w:rFonts w:asciiTheme="majorBidi" w:hAnsiTheme="majorBidi" w:cstheme="majorBidi"/>
          <w:sz w:val="24"/>
          <w:szCs w:val="24"/>
          <w:lang w:val="en-GB"/>
        </w:rPr>
        <w:t>has beco</w:t>
      </w:r>
      <w:r w:rsidR="003C6976" w:rsidRPr="00100028">
        <w:rPr>
          <w:rFonts w:asciiTheme="majorBidi" w:hAnsiTheme="majorBidi" w:cstheme="majorBidi"/>
          <w:sz w:val="24"/>
          <w:szCs w:val="24"/>
          <w:lang w:val="en-GB"/>
        </w:rPr>
        <w:t>me more systematic</w:t>
      </w:r>
      <w:r w:rsidR="00C50D58" w:rsidRPr="00100028">
        <w:rPr>
          <w:rFonts w:asciiTheme="majorBidi" w:hAnsiTheme="majorBidi" w:cstheme="majorBidi"/>
          <w:sz w:val="24"/>
          <w:szCs w:val="24"/>
          <w:lang w:val="en-GB"/>
        </w:rPr>
        <w:t xml:space="preserve"> upon the </w:t>
      </w:r>
      <w:r w:rsidR="00244ADC" w:rsidRPr="00100028">
        <w:rPr>
          <w:rFonts w:asciiTheme="majorBidi" w:hAnsiTheme="majorBidi" w:cstheme="majorBidi"/>
          <w:sz w:val="24"/>
          <w:szCs w:val="24"/>
          <w:lang w:val="en-GB"/>
        </w:rPr>
        <w:t>Oslo agreement</w:t>
      </w:r>
      <w:r w:rsidR="00C50D58" w:rsidRPr="00100028">
        <w:rPr>
          <w:rFonts w:asciiTheme="majorBidi" w:hAnsiTheme="majorBidi" w:cstheme="majorBidi"/>
          <w:sz w:val="24"/>
          <w:szCs w:val="24"/>
          <w:lang w:val="en-GB"/>
        </w:rPr>
        <w:t xml:space="preserve"> in 1994</w:t>
      </w:r>
      <w:r w:rsidRPr="00100028">
        <w:rPr>
          <w:rFonts w:asciiTheme="majorBidi" w:hAnsiTheme="majorBidi" w:cstheme="majorBidi"/>
          <w:sz w:val="24"/>
          <w:szCs w:val="24"/>
          <w:lang w:val="en-GB"/>
        </w:rPr>
        <w:t>.</w:t>
      </w:r>
      <w:r w:rsidR="003C6976" w:rsidRPr="00100028">
        <w:rPr>
          <w:rStyle w:val="FootnoteReference"/>
          <w:rFonts w:asciiTheme="majorBidi" w:hAnsiTheme="majorBidi" w:cstheme="majorBidi"/>
          <w:sz w:val="24"/>
          <w:szCs w:val="24"/>
          <w:lang w:val="en-GB"/>
        </w:rPr>
        <w:footnoteReference w:id="82"/>
      </w:r>
      <w:r w:rsidR="00F94070" w:rsidRPr="00100028">
        <w:rPr>
          <w:rFonts w:asciiTheme="majorBidi" w:hAnsiTheme="majorBidi" w:cstheme="majorBidi"/>
          <w:sz w:val="24"/>
          <w:szCs w:val="24"/>
          <w:lang w:val="en-GB"/>
        </w:rPr>
        <w:t xml:space="preserve"> West Bankers</w:t>
      </w:r>
      <w:r w:rsidRPr="00100028">
        <w:rPr>
          <w:rFonts w:asciiTheme="majorBidi" w:hAnsiTheme="majorBidi" w:cstheme="majorBidi"/>
          <w:sz w:val="24"/>
          <w:szCs w:val="24"/>
          <w:lang w:val="en-GB"/>
        </w:rPr>
        <w:t xml:space="preserve"> could not travel</w:t>
      </w:r>
      <w:r w:rsidR="00EB6D20" w:rsidRPr="00100028">
        <w:rPr>
          <w:rFonts w:asciiTheme="majorBidi" w:hAnsiTheme="majorBidi" w:cstheme="majorBidi"/>
          <w:sz w:val="24"/>
          <w:szCs w:val="24"/>
          <w:lang w:val="en-GB"/>
        </w:rPr>
        <w:t xml:space="preserve"> to Gaza</w:t>
      </w:r>
      <w:r w:rsidRPr="00100028">
        <w:rPr>
          <w:rFonts w:asciiTheme="majorBidi" w:hAnsiTheme="majorBidi" w:cstheme="majorBidi"/>
          <w:sz w:val="24"/>
          <w:szCs w:val="24"/>
          <w:lang w:val="en-GB"/>
        </w:rPr>
        <w:t xml:space="preserve">, and vice versa, except with the permission </w:t>
      </w:r>
      <w:r w:rsidR="00EB6D20" w:rsidRPr="00100028">
        <w:rPr>
          <w:rFonts w:asciiTheme="majorBidi" w:hAnsiTheme="majorBidi" w:cstheme="majorBidi"/>
          <w:sz w:val="24"/>
          <w:szCs w:val="24"/>
          <w:lang w:val="en-GB"/>
        </w:rPr>
        <w:t>of Israel. Gazan</w:t>
      </w:r>
      <w:r w:rsidRPr="00100028">
        <w:rPr>
          <w:rFonts w:asciiTheme="majorBidi" w:hAnsiTheme="majorBidi" w:cstheme="majorBidi"/>
          <w:sz w:val="24"/>
          <w:szCs w:val="24"/>
          <w:lang w:val="en-GB"/>
        </w:rPr>
        <w:t xml:space="preserve">s could reside in the West Bank only </w:t>
      </w:r>
      <w:r w:rsidR="00EB6D20" w:rsidRPr="00100028">
        <w:rPr>
          <w:rFonts w:asciiTheme="majorBidi" w:hAnsiTheme="majorBidi" w:cstheme="majorBidi"/>
          <w:sz w:val="24"/>
          <w:szCs w:val="24"/>
          <w:lang w:val="en-GB"/>
        </w:rPr>
        <w:t>for as long as Israel determines</w:t>
      </w:r>
      <w:r w:rsidRPr="00100028">
        <w:rPr>
          <w:rFonts w:asciiTheme="majorBidi" w:hAnsiTheme="majorBidi" w:cstheme="majorBidi"/>
          <w:sz w:val="24"/>
          <w:szCs w:val="24"/>
          <w:lang w:val="en-GB"/>
        </w:rPr>
        <w:t>. Israel reserved the power to depo</w:t>
      </w:r>
      <w:r w:rsidR="00EB6D20" w:rsidRPr="00100028">
        <w:rPr>
          <w:rFonts w:asciiTheme="majorBidi" w:hAnsiTheme="majorBidi" w:cstheme="majorBidi"/>
          <w:sz w:val="24"/>
          <w:szCs w:val="24"/>
          <w:lang w:val="en-GB"/>
        </w:rPr>
        <w:t>rt Gazans</w:t>
      </w:r>
      <w:r w:rsidRPr="00100028">
        <w:rPr>
          <w:rFonts w:asciiTheme="majorBidi" w:hAnsiTheme="majorBidi" w:cstheme="majorBidi"/>
          <w:sz w:val="24"/>
          <w:szCs w:val="24"/>
          <w:lang w:val="en-GB"/>
        </w:rPr>
        <w:t xml:space="preserve"> from the West Bank.</w:t>
      </w:r>
      <w:r w:rsidR="000055E5" w:rsidRPr="00100028">
        <w:rPr>
          <w:rStyle w:val="FootnoteReference"/>
          <w:rFonts w:asciiTheme="majorBidi" w:hAnsiTheme="majorBidi" w:cstheme="majorBidi"/>
          <w:sz w:val="24"/>
          <w:szCs w:val="24"/>
          <w:lang w:val="en-GB"/>
        </w:rPr>
        <w:footnoteReference w:id="83"/>
      </w:r>
      <w:r w:rsidRPr="00100028">
        <w:rPr>
          <w:rFonts w:asciiTheme="majorBidi" w:hAnsiTheme="majorBidi" w:cstheme="majorBidi"/>
          <w:sz w:val="24"/>
          <w:szCs w:val="24"/>
          <w:lang w:val="en-GB"/>
        </w:rPr>
        <w:t xml:space="preserve"> It </w:t>
      </w:r>
      <w:r w:rsidR="00F94070" w:rsidRPr="00100028">
        <w:rPr>
          <w:rFonts w:asciiTheme="majorBidi" w:hAnsiTheme="majorBidi" w:cstheme="majorBidi"/>
          <w:sz w:val="24"/>
          <w:szCs w:val="24"/>
          <w:lang w:val="en-GB"/>
        </w:rPr>
        <w:t>likewise reserved the power</w:t>
      </w:r>
      <w:r w:rsidRPr="00100028">
        <w:rPr>
          <w:rFonts w:asciiTheme="majorBidi" w:hAnsiTheme="majorBidi" w:cstheme="majorBidi"/>
          <w:sz w:val="24"/>
          <w:szCs w:val="24"/>
          <w:lang w:val="en-GB"/>
        </w:rPr>
        <w:t xml:space="preserve"> </w:t>
      </w:r>
      <w:r w:rsidR="00F94070" w:rsidRPr="00100028">
        <w:rPr>
          <w:rFonts w:asciiTheme="majorBidi" w:hAnsiTheme="majorBidi" w:cstheme="majorBidi"/>
          <w:sz w:val="24"/>
          <w:szCs w:val="24"/>
          <w:lang w:val="en-GB"/>
        </w:rPr>
        <w:t>of</w:t>
      </w:r>
      <w:r w:rsidRPr="00100028">
        <w:rPr>
          <w:rFonts w:asciiTheme="majorBidi" w:hAnsiTheme="majorBidi" w:cstheme="majorBidi"/>
          <w:sz w:val="24"/>
          <w:szCs w:val="24"/>
          <w:lang w:val="en-GB"/>
        </w:rPr>
        <w:t xml:space="preserve"> grant</w:t>
      </w:r>
      <w:r w:rsidR="00F94070" w:rsidRPr="00100028">
        <w:rPr>
          <w:rFonts w:asciiTheme="majorBidi" w:hAnsiTheme="majorBidi" w:cstheme="majorBidi"/>
          <w:sz w:val="24"/>
          <w:szCs w:val="24"/>
          <w:lang w:val="en-GB"/>
        </w:rPr>
        <w:t>ing</w:t>
      </w:r>
      <w:r w:rsidRPr="00100028">
        <w:rPr>
          <w:rFonts w:asciiTheme="majorBidi" w:hAnsiTheme="majorBidi" w:cstheme="majorBidi"/>
          <w:sz w:val="24"/>
          <w:szCs w:val="24"/>
          <w:lang w:val="en-GB"/>
        </w:rPr>
        <w:t xml:space="preserve"> permanent residence to so</w:t>
      </w:r>
      <w:r w:rsidR="00EB6D20" w:rsidRPr="00100028">
        <w:rPr>
          <w:rFonts w:asciiTheme="majorBidi" w:hAnsiTheme="majorBidi" w:cstheme="majorBidi"/>
          <w:sz w:val="24"/>
          <w:szCs w:val="24"/>
          <w:lang w:val="en-GB"/>
        </w:rPr>
        <w:t>me Gazans</w:t>
      </w:r>
      <w:r w:rsidRPr="00100028">
        <w:rPr>
          <w:rFonts w:asciiTheme="majorBidi" w:hAnsiTheme="majorBidi" w:cstheme="majorBidi"/>
          <w:sz w:val="24"/>
          <w:szCs w:val="24"/>
          <w:lang w:val="en-GB"/>
        </w:rPr>
        <w:t xml:space="preserve"> in the West Bank, chiefly on grounds of family reunification or public employment</w:t>
      </w:r>
      <w:r w:rsidR="004D41D2" w:rsidRPr="00100028">
        <w:rPr>
          <w:rFonts w:asciiTheme="majorBidi" w:hAnsiTheme="majorBidi" w:cstheme="majorBidi"/>
          <w:sz w:val="24"/>
          <w:szCs w:val="24"/>
          <w:lang w:val="en-GB"/>
        </w:rPr>
        <w:t xml:space="preserve"> with the P</w:t>
      </w:r>
      <w:r w:rsidR="00B22BBA" w:rsidRPr="00100028">
        <w:rPr>
          <w:rFonts w:asciiTheme="majorBidi" w:hAnsiTheme="majorBidi" w:cstheme="majorBidi"/>
          <w:sz w:val="24"/>
          <w:szCs w:val="24"/>
          <w:lang w:val="en-GB"/>
        </w:rPr>
        <w:t>alestinian government</w:t>
      </w:r>
      <w:r w:rsidRPr="00100028">
        <w:rPr>
          <w:rFonts w:asciiTheme="majorBidi" w:hAnsiTheme="majorBidi" w:cstheme="majorBidi"/>
          <w:sz w:val="24"/>
          <w:szCs w:val="24"/>
          <w:lang w:val="en-GB"/>
        </w:rPr>
        <w:t xml:space="preserve">. </w:t>
      </w:r>
      <w:r w:rsidR="00280BB9" w:rsidRPr="00100028">
        <w:rPr>
          <w:rFonts w:asciiTheme="majorBidi" w:hAnsiTheme="majorBidi" w:cstheme="majorBidi"/>
          <w:sz w:val="24"/>
          <w:szCs w:val="24"/>
          <w:lang w:val="en-GB"/>
        </w:rPr>
        <w:t>After over a decade of freeze, in August 2011,</w:t>
      </w:r>
      <w:r w:rsidRPr="00100028">
        <w:rPr>
          <w:rFonts w:asciiTheme="majorBidi" w:hAnsiTheme="majorBidi" w:cstheme="majorBidi"/>
          <w:sz w:val="24"/>
          <w:szCs w:val="24"/>
          <w:lang w:val="en-GB"/>
        </w:rPr>
        <w:t xml:space="preserve"> Israe</w:t>
      </w:r>
      <w:r w:rsidR="00F94070" w:rsidRPr="00100028">
        <w:rPr>
          <w:rFonts w:asciiTheme="majorBidi" w:hAnsiTheme="majorBidi" w:cstheme="majorBidi"/>
          <w:sz w:val="24"/>
          <w:szCs w:val="24"/>
          <w:lang w:val="en-GB"/>
        </w:rPr>
        <w:t>l allowed 1,956 persons from Gaza</w:t>
      </w:r>
      <w:r w:rsidRPr="00100028">
        <w:rPr>
          <w:rFonts w:asciiTheme="majorBidi" w:hAnsiTheme="majorBidi" w:cstheme="majorBidi"/>
          <w:sz w:val="24"/>
          <w:szCs w:val="24"/>
          <w:lang w:val="en-GB"/>
        </w:rPr>
        <w:t>, who had alread</w:t>
      </w:r>
      <w:r w:rsidR="00F94070" w:rsidRPr="00100028">
        <w:rPr>
          <w:rFonts w:asciiTheme="majorBidi" w:hAnsiTheme="majorBidi" w:cstheme="majorBidi"/>
          <w:sz w:val="24"/>
          <w:szCs w:val="24"/>
          <w:lang w:val="en-GB"/>
        </w:rPr>
        <w:t>y been residing</w:t>
      </w:r>
      <w:r w:rsidRPr="00100028">
        <w:rPr>
          <w:rFonts w:asciiTheme="majorBidi" w:hAnsiTheme="majorBidi" w:cstheme="majorBidi"/>
          <w:sz w:val="24"/>
          <w:szCs w:val="24"/>
          <w:lang w:val="en-GB"/>
        </w:rPr>
        <w:t xml:space="preserve"> </w:t>
      </w:r>
      <w:r w:rsidR="00B22BBA" w:rsidRPr="00100028">
        <w:rPr>
          <w:rFonts w:asciiTheme="majorBidi" w:hAnsiTheme="majorBidi" w:cstheme="majorBidi"/>
          <w:sz w:val="24"/>
          <w:szCs w:val="24"/>
          <w:lang w:val="en-GB"/>
        </w:rPr>
        <w:t xml:space="preserve">in the West Bank </w:t>
      </w:r>
      <w:r w:rsidRPr="00100028">
        <w:rPr>
          <w:rFonts w:asciiTheme="majorBidi" w:hAnsiTheme="majorBidi" w:cstheme="majorBidi"/>
          <w:sz w:val="24"/>
          <w:szCs w:val="24"/>
          <w:lang w:val="en-GB"/>
        </w:rPr>
        <w:t>for years, the right to change their address to the West Bank and thereby acquire perm</w:t>
      </w:r>
      <w:r w:rsidR="001D1315" w:rsidRPr="00100028">
        <w:rPr>
          <w:rFonts w:asciiTheme="majorBidi" w:hAnsiTheme="majorBidi" w:cstheme="majorBidi"/>
          <w:sz w:val="24"/>
          <w:szCs w:val="24"/>
          <w:lang w:val="en-GB"/>
        </w:rPr>
        <w:t>anent residency therein</w:t>
      </w:r>
      <w:r w:rsidRPr="00100028">
        <w:rPr>
          <w:rFonts w:asciiTheme="majorBidi" w:hAnsiTheme="majorBidi" w:cstheme="majorBidi"/>
          <w:sz w:val="24"/>
          <w:szCs w:val="24"/>
          <w:lang w:val="en-GB"/>
        </w:rPr>
        <w:t>.</w:t>
      </w:r>
      <w:r w:rsidR="00F94070" w:rsidRPr="00100028">
        <w:rPr>
          <w:rStyle w:val="FootnoteReference"/>
          <w:rFonts w:asciiTheme="majorBidi" w:hAnsiTheme="majorBidi" w:cstheme="majorBidi"/>
          <w:sz w:val="24"/>
          <w:szCs w:val="24"/>
          <w:lang w:val="en-GB"/>
        </w:rPr>
        <w:footnoteReference w:id="84"/>
      </w:r>
      <w:r w:rsidRPr="00100028">
        <w:rPr>
          <w:rFonts w:asciiTheme="majorBidi" w:hAnsiTheme="majorBidi" w:cstheme="majorBidi"/>
          <w:sz w:val="24"/>
          <w:szCs w:val="24"/>
          <w:lang w:val="en-GB"/>
        </w:rPr>
        <w:t xml:space="preserve"> In practice, such persons became West Bankers </w:t>
      </w:r>
      <w:r w:rsidR="001D1315" w:rsidRPr="00100028">
        <w:rPr>
          <w:rFonts w:asciiTheme="majorBidi" w:hAnsiTheme="majorBidi" w:cstheme="majorBidi"/>
          <w:sz w:val="24"/>
          <w:szCs w:val="24"/>
          <w:lang w:val="en-GB"/>
        </w:rPr>
        <w:t>and were unable to travel to Gaza</w:t>
      </w:r>
      <w:r w:rsidR="00F94070" w:rsidRPr="00100028">
        <w:rPr>
          <w:rFonts w:asciiTheme="majorBidi" w:hAnsiTheme="majorBidi" w:cstheme="majorBidi"/>
          <w:sz w:val="24"/>
          <w:szCs w:val="24"/>
          <w:lang w:val="en-GB"/>
        </w:rPr>
        <w:t xml:space="preserve"> without</w:t>
      </w:r>
      <w:r w:rsidRPr="00100028">
        <w:rPr>
          <w:rFonts w:asciiTheme="majorBidi" w:hAnsiTheme="majorBidi" w:cstheme="majorBidi"/>
          <w:sz w:val="24"/>
          <w:szCs w:val="24"/>
          <w:lang w:val="en-GB"/>
        </w:rPr>
        <w:t xml:space="preserve"> </w:t>
      </w:r>
      <w:r w:rsidR="00B22BBA" w:rsidRPr="00100028">
        <w:rPr>
          <w:rFonts w:asciiTheme="majorBidi" w:hAnsiTheme="majorBidi" w:cstheme="majorBidi"/>
          <w:sz w:val="24"/>
          <w:szCs w:val="24"/>
          <w:lang w:val="en-GB"/>
        </w:rPr>
        <w:t xml:space="preserve">an Israeli </w:t>
      </w:r>
      <w:r w:rsidRPr="00100028">
        <w:rPr>
          <w:rFonts w:asciiTheme="majorBidi" w:hAnsiTheme="majorBidi" w:cstheme="majorBidi"/>
          <w:sz w:val="24"/>
          <w:szCs w:val="24"/>
          <w:lang w:val="en-GB"/>
        </w:rPr>
        <w:t>p</w:t>
      </w:r>
      <w:r w:rsidR="00E634BB" w:rsidRPr="00100028">
        <w:rPr>
          <w:rFonts w:asciiTheme="majorBidi" w:hAnsiTheme="majorBidi" w:cstheme="majorBidi"/>
          <w:sz w:val="24"/>
          <w:szCs w:val="24"/>
          <w:lang w:val="en-GB"/>
        </w:rPr>
        <w:t>ermit. Israel also deports certain</w:t>
      </w:r>
      <w:r w:rsidRPr="00100028">
        <w:rPr>
          <w:rFonts w:asciiTheme="majorBidi" w:hAnsiTheme="majorBidi" w:cstheme="majorBidi"/>
          <w:sz w:val="24"/>
          <w:szCs w:val="24"/>
          <w:lang w:val="en-GB"/>
        </w:rPr>
        <w:t xml:space="preserve"> </w:t>
      </w:r>
      <w:r w:rsidR="001D1315" w:rsidRPr="00100028">
        <w:rPr>
          <w:rFonts w:asciiTheme="majorBidi" w:hAnsiTheme="majorBidi" w:cstheme="majorBidi"/>
          <w:sz w:val="24"/>
          <w:szCs w:val="24"/>
          <w:lang w:val="en-GB"/>
        </w:rPr>
        <w:t>West Bankers to Gaza</w:t>
      </w:r>
      <w:r w:rsidR="00E634BB" w:rsidRPr="00100028">
        <w:rPr>
          <w:rFonts w:asciiTheme="majorBidi" w:hAnsiTheme="majorBidi" w:cstheme="majorBidi"/>
          <w:sz w:val="24"/>
          <w:szCs w:val="24"/>
          <w:lang w:val="en-GB"/>
        </w:rPr>
        <w:t xml:space="preserve"> and denies</w:t>
      </w:r>
      <w:r w:rsidR="001D1315" w:rsidRPr="00100028">
        <w:rPr>
          <w:rFonts w:asciiTheme="majorBidi" w:hAnsiTheme="majorBidi" w:cstheme="majorBidi"/>
          <w:sz w:val="24"/>
          <w:szCs w:val="24"/>
          <w:lang w:val="en-GB"/>
        </w:rPr>
        <w:t xml:space="preserve"> their return</w:t>
      </w:r>
      <w:r w:rsidR="00B22BBA" w:rsidRPr="00100028">
        <w:rPr>
          <w:rFonts w:asciiTheme="majorBidi" w:hAnsiTheme="majorBidi" w:cstheme="majorBidi"/>
          <w:sz w:val="24"/>
          <w:szCs w:val="24"/>
          <w:lang w:val="en-GB"/>
        </w:rPr>
        <w:t xml:space="preserve"> to the West Bank</w:t>
      </w:r>
      <w:r w:rsidRPr="00100028">
        <w:rPr>
          <w:rFonts w:asciiTheme="majorBidi" w:hAnsiTheme="majorBidi" w:cstheme="majorBidi"/>
          <w:sz w:val="24"/>
          <w:szCs w:val="24"/>
          <w:lang w:val="en-GB"/>
        </w:rPr>
        <w:t>.</w:t>
      </w:r>
      <w:r w:rsidR="00F94070" w:rsidRPr="00100028">
        <w:rPr>
          <w:rStyle w:val="FootnoteReference"/>
          <w:rFonts w:asciiTheme="majorBidi" w:hAnsiTheme="majorBidi" w:cstheme="majorBidi"/>
          <w:sz w:val="24"/>
          <w:szCs w:val="24"/>
          <w:lang w:val="en-GB"/>
        </w:rPr>
        <w:footnoteReference w:id="85"/>
      </w:r>
      <w:r w:rsidRPr="00100028">
        <w:rPr>
          <w:rFonts w:asciiTheme="majorBidi" w:hAnsiTheme="majorBidi" w:cstheme="majorBidi"/>
          <w:sz w:val="24"/>
          <w:szCs w:val="24"/>
          <w:lang w:val="en-GB"/>
        </w:rPr>
        <w:t xml:space="preserve"> </w:t>
      </w:r>
      <w:r w:rsidR="009F266E" w:rsidRPr="00100028">
        <w:rPr>
          <w:rFonts w:asciiTheme="majorBidi" w:hAnsiTheme="majorBidi" w:cstheme="majorBidi"/>
          <w:sz w:val="24"/>
          <w:szCs w:val="24"/>
          <w:lang w:val="en-GB"/>
        </w:rPr>
        <w:t>Hundreds of thousands of Gaza-registered persons who are residing in the West Bank</w:t>
      </w:r>
      <w:r w:rsidR="004E246A" w:rsidRPr="00100028">
        <w:rPr>
          <w:rFonts w:asciiTheme="majorBidi" w:hAnsiTheme="majorBidi" w:cstheme="majorBidi"/>
          <w:sz w:val="24"/>
          <w:szCs w:val="24"/>
          <w:lang w:val="en-GB"/>
        </w:rPr>
        <w:t xml:space="preserve"> whose residency in that area has been approved by Israel</w:t>
      </w:r>
      <w:r w:rsidR="009F266E" w:rsidRPr="00100028">
        <w:rPr>
          <w:rFonts w:asciiTheme="majorBidi" w:hAnsiTheme="majorBidi" w:cstheme="majorBidi"/>
          <w:sz w:val="24"/>
          <w:szCs w:val="24"/>
          <w:lang w:val="en-GB"/>
        </w:rPr>
        <w:t>, among whom thousands born in the West Bank, are not immune of expulsion.</w:t>
      </w:r>
      <w:r w:rsidR="004E246A" w:rsidRPr="00100028">
        <w:rPr>
          <w:rStyle w:val="FootnoteReference"/>
          <w:rFonts w:asciiTheme="majorBidi" w:hAnsiTheme="majorBidi" w:cstheme="majorBidi"/>
          <w:sz w:val="24"/>
          <w:szCs w:val="24"/>
          <w:lang w:val="en-GB"/>
        </w:rPr>
        <w:footnoteReference w:id="86"/>
      </w:r>
      <w:r w:rsidR="009F266E" w:rsidRPr="00100028">
        <w:rPr>
          <w:rFonts w:asciiTheme="majorBidi" w:hAnsiTheme="majorBidi" w:cstheme="majorBidi"/>
          <w:sz w:val="24"/>
          <w:szCs w:val="24"/>
          <w:lang w:val="en-GB"/>
        </w:rPr>
        <w:t xml:space="preserve"> </w:t>
      </w:r>
      <w:r w:rsidR="00F94070" w:rsidRPr="00100028">
        <w:rPr>
          <w:rFonts w:asciiTheme="majorBidi" w:hAnsiTheme="majorBidi" w:cstheme="majorBidi"/>
          <w:sz w:val="24"/>
          <w:szCs w:val="24"/>
          <w:lang w:val="en-GB"/>
        </w:rPr>
        <w:t>Thus, t</w:t>
      </w:r>
      <w:r w:rsidRPr="00100028">
        <w:rPr>
          <w:rFonts w:asciiTheme="majorBidi" w:hAnsiTheme="majorBidi" w:cstheme="majorBidi"/>
          <w:sz w:val="24"/>
          <w:szCs w:val="24"/>
          <w:lang w:val="en-GB"/>
        </w:rPr>
        <w:t xml:space="preserve">he </w:t>
      </w:r>
      <w:r w:rsidR="001D1315" w:rsidRPr="00100028">
        <w:rPr>
          <w:rFonts w:asciiTheme="majorBidi" w:hAnsiTheme="majorBidi" w:cstheme="majorBidi"/>
          <w:sz w:val="24"/>
          <w:szCs w:val="24"/>
          <w:lang w:val="en-GB"/>
        </w:rPr>
        <w:t>status of Gaza</w:t>
      </w:r>
      <w:r w:rsidR="00F94070" w:rsidRPr="00100028">
        <w:rPr>
          <w:rFonts w:asciiTheme="majorBidi" w:hAnsiTheme="majorBidi" w:cstheme="majorBidi"/>
          <w:sz w:val="24"/>
          <w:szCs w:val="24"/>
          <w:lang w:val="en-GB"/>
        </w:rPr>
        <w:t xml:space="preserve">ns </w:t>
      </w:r>
      <w:r w:rsidR="009F266E" w:rsidRPr="00100028">
        <w:rPr>
          <w:rFonts w:asciiTheme="majorBidi" w:hAnsiTheme="majorBidi" w:cstheme="majorBidi"/>
          <w:sz w:val="24"/>
          <w:szCs w:val="24"/>
          <w:lang w:val="en-GB"/>
        </w:rPr>
        <w:t xml:space="preserve">as determined and enforced by Israel </w:t>
      </w:r>
      <w:r w:rsidR="00F94070" w:rsidRPr="00100028">
        <w:rPr>
          <w:rFonts w:asciiTheme="majorBidi" w:hAnsiTheme="majorBidi" w:cstheme="majorBidi"/>
          <w:sz w:val="24"/>
          <w:szCs w:val="24"/>
          <w:lang w:val="en-GB"/>
        </w:rPr>
        <w:t>who enter and stay the West Bank without formal</w:t>
      </w:r>
      <w:r w:rsidR="00E634BB" w:rsidRPr="00100028">
        <w:rPr>
          <w:rFonts w:asciiTheme="majorBidi" w:hAnsiTheme="majorBidi" w:cstheme="majorBidi"/>
          <w:sz w:val="24"/>
          <w:szCs w:val="24"/>
          <w:lang w:val="en-GB"/>
        </w:rPr>
        <w:t xml:space="preserve"> Israeli-approved</w:t>
      </w:r>
      <w:r w:rsidR="00F94070" w:rsidRPr="00100028">
        <w:rPr>
          <w:rFonts w:asciiTheme="majorBidi" w:hAnsiTheme="majorBidi" w:cstheme="majorBidi"/>
          <w:sz w:val="24"/>
          <w:szCs w:val="24"/>
          <w:lang w:val="en-GB"/>
        </w:rPr>
        <w:t xml:space="preserve"> change of residency</w:t>
      </w:r>
      <w:r w:rsidRPr="00100028">
        <w:rPr>
          <w:rFonts w:asciiTheme="majorBidi" w:hAnsiTheme="majorBidi" w:cstheme="majorBidi"/>
          <w:sz w:val="24"/>
          <w:szCs w:val="24"/>
          <w:lang w:val="en-GB"/>
        </w:rPr>
        <w:t xml:space="preserve"> </w:t>
      </w:r>
      <w:r w:rsidR="00F94070" w:rsidRPr="00100028">
        <w:rPr>
          <w:rFonts w:asciiTheme="majorBidi" w:hAnsiTheme="majorBidi" w:cstheme="majorBidi"/>
          <w:sz w:val="24"/>
          <w:szCs w:val="24"/>
          <w:lang w:val="en-GB"/>
        </w:rPr>
        <w:t xml:space="preserve">address </w:t>
      </w:r>
      <w:r w:rsidRPr="00100028">
        <w:rPr>
          <w:rFonts w:asciiTheme="majorBidi" w:hAnsiTheme="majorBidi" w:cstheme="majorBidi"/>
          <w:sz w:val="24"/>
          <w:szCs w:val="24"/>
          <w:lang w:val="en-GB"/>
        </w:rPr>
        <w:t>resembled that of de facto f</w:t>
      </w:r>
      <w:r w:rsidR="009F266E" w:rsidRPr="00100028">
        <w:rPr>
          <w:rFonts w:asciiTheme="majorBidi" w:hAnsiTheme="majorBidi" w:cstheme="majorBidi"/>
          <w:sz w:val="24"/>
          <w:szCs w:val="24"/>
          <w:lang w:val="en-GB"/>
        </w:rPr>
        <w:t>oreigners in the West Bank</w:t>
      </w:r>
      <w:r w:rsidRPr="00100028">
        <w:rPr>
          <w:rFonts w:asciiTheme="majorBidi" w:hAnsiTheme="majorBidi" w:cstheme="majorBidi"/>
          <w:sz w:val="24"/>
          <w:szCs w:val="24"/>
          <w:lang w:val="en-GB"/>
        </w:rPr>
        <w:t>.</w:t>
      </w:r>
      <w:r w:rsidR="004E246A" w:rsidRPr="00100028">
        <w:rPr>
          <w:rStyle w:val="FootnoteReference"/>
          <w:rFonts w:asciiTheme="majorBidi" w:hAnsiTheme="majorBidi" w:cstheme="majorBidi"/>
          <w:sz w:val="24"/>
          <w:szCs w:val="24"/>
          <w:lang w:val="en-GB"/>
        </w:rPr>
        <w:footnoteReference w:id="87"/>
      </w:r>
      <w:r w:rsidR="009F266E" w:rsidRPr="00100028">
        <w:rPr>
          <w:rFonts w:asciiTheme="majorBidi" w:hAnsiTheme="majorBidi" w:cstheme="majorBidi"/>
          <w:sz w:val="24"/>
          <w:szCs w:val="24"/>
          <w:lang w:val="en-GB"/>
        </w:rPr>
        <w:t xml:space="preserve"> This runs </w:t>
      </w:r>
      <w:r w:rsidR="004E246A" w:rsidRPr="00100028">
        <w:rPr>
          <w:rFonts w:asciiTheme="majorBidi" w:hAnsiTheme="majorBidi" w:cstheme="majorBidi"/>
          <w:sz w:val="24"/>
          <w:szCs w:val="24"/>
          <w:lang w:val="en-GB"/>
        </w:rPr>
        <w:t>counter</w:t>
      </w:r>
      <w:r w:rsidR="009F266E" w:rsidRPr="00100028">
        <w:rPr>
          <w:rFonts w:asciiTheme="majorBidi" w:hAnsiTheme="majorBidi" w:cstheme="majorBidi"/>
          <w:sz w:val="24"/>
          <w:szCs w:val="24"/>
          <w:lang w:val="en-GB"/>
        </w:rPr>
        <w:t xml:space="preserve"> to the </w:t>
      </w:r>
      <w:r w:rsidR="004E246A" w:rsidRPr="00100028">
        <w:rPr>
          <w:rFonts w:asciiTheme="majorBidi" w:hAnsiTheme="majorBidi" w:cstheme="majorBidi"/>
          <w:sz w:val="24"/>
          <w:szCs w:val="24"/>
          <w:lang w:val="en-GB"/>
        </w:rPr>
        <w:t>Oslo agreements that regard the West Bank and Gaza as a single territorial unit as we will see next.</w:t>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1D1315" w:rsidP="00100028">
      <w:pPr>
        <w:bidi w:val="0"/>
        <w:jc w:val="both"/>
        <w:rPr>
          <w:rFonts w:asciiTheme="majorBidi" w:hAnsiTheme="majorBidi" w:cstheme="majorBidi"/>
          <w:b/>
          <w:bCs/>
          <w:sz w:val="24"/>
          <w:szCs w:val="24"/>
          <w:lang w:val="en-GB"/>
        </w:rPr>
      </w:pPr>
      <w:r w:rsidRPr="00100028">
        <w:rPr>
          <w:rFonts w:asciiTheme="majorBidi" w:hAnsiTheme="majorBidi" w:cstheme="majorBidi"/>
          <w:b/>
          <w:bCs/>
          <w:sz w:val="24"/>
          <w:szCs w:val="24"/>
          <w:lang w:val="en-GB"/>
        </w:rPr>
        <w:t>Citizenship</w:t>
      </w:r>
      <w:r w:rsidR="00A52788" w:rsidRPr="00100028">
        <w:rPr>
          <w:rFonts w:asciiTheme="majorBidi" w:hAnsiTheme="majorBidi" w:cstheme="majorBidi"/>
          <w:b/>
          <w:bCs/>
          <w:sz w:val="24"/>
          <w:szCs w:val="24"/>
          <w:lang w:val="en-GB"/>
        </w:rPr>
        <w:t xml:space="preserve"> under the Palestinian Authority</w:t>
      </w:r>
    </w:p>
    <w:p w:rsidR="008F46A0" w:rsidRPr="00100028" w:rsidRDefault="008F46A0"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After the establishment of the Palestinian Authority </w:t>
      </w:r>
      <w:r w:rsidR="00133ADB" w:rsidRPr="00100028">
        <w:rPr>
          <w:rFonts w:asciiTheme="majorBidi" w:hAnsiTheme="majorBidi" w:cstheme="majorBidi"/>
          <w:sz w:val="24"/>
          <w:szCs w:val="24"/>
          <w:lang w:val="en-GB"/>
        </w:rPr>
        <w:t xml:space="preserve">(PA) </w:t>
      </w:r>
      <w:r w:rsidRPr="00100028">
        <w:rPr>
          <w:rFonts w:asciiTheme="majorBidi" w:hAnsiTheme="majorBidi" w:cstheme="majorBidi"/>
          <w:sz w:val="24"/>
          <w:szCs w:val="24"/>
          <w:lang w:val="en-GB"/>
        </w:rPr>
        <w:t>in 1994 in certai</w:t>
      </w:r>
      <w:r w:rsidR="00133ADB" w:rsidRPr="00100028">
        <w:rPr>
          <w:rFonts w:asciiTheme="majorBidi" w:hAnsiTheme="majorBidi" w:cstheme="majorBidi"/>
          <w:sz w:val="24"/>
          <w:szCs w:val="24"/>
          <w:lang w:val="en-GB"/>
        </w:rPr>
        <w:t>n parts of the West Bank and Gaza</w:t>
      </w:r>
      <w:r w:rsidRPr="00100028">
        <w:rPr>
          <w:rFonts w:asciiTheme="majorBidi" w:hAnsiTheme="majorBidi" w:cstheme="majorBidi"/>
          <w:sz w:val="24"/>
          <w:szCs w:val="24"/>
          <w:lang w:val="en-GB"/>
        </w:rPr>
        <w:t xml:space="preserve"> upon the signing of the Declaration of Principles between Israel and the Palestine Liberation Organization on 13 September 1993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Oslo I</w:t>
      </w:r>
      <w:r w:rsidR="009F0BCE"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w:t>
      </w:r>
      <w:r w:rsidR="00A70764" w:rsidRPr="00100028">
        <w:rPr>
          <w:rFonts w:asciiTheme="majorBidi" w:hAnsiTheme="majorBidi" w:cstheme="majorBidi"/>
          <w:sz w:val="24"/>
          <w:szCs w:val="24"/>
          <w:lang w:val="en-GB"/>
        </w:rPr>
        <w:t>,</w:t>
      </w:r>
      <w:r w:rsidR="00A70764" w:rsidRPr="00100028">
        <w:rPr>
          <w:rStyle w:val="FootnoteReference"/>
          <w:rFonts w:asciiTheme="majorBidi" w:hAnsiTheme="majorBidi" w:cstheme="majorBidi"/>
          <w:sz w:val="24"/>
          <w:szCs w:val="24"/>
          <w:lang w:val="en-GB"/>
        </w:rPr>
        <w:footnoteReference w:id="88"/>
      </w:r>
      <w:r w:rsidR="007B6E18" w:rsidRPr="00100028">
        <w:rPr>
          <w:rFonts w:asciiTheme="majorBidi" w:hAnsiTheme="majorBidi" w:cstheme="majorBidi"/>
          <w:sz w:val="24"/>
          <w:szCs w:val="24"/>
          <w:lang w:val="en-GB"/>
        </w:rPr>
        <w:t xml:space="preserve"> and based on</w:t>
      </w:r>
      <w:r w:rsidRPr="00100028">
        <w:rPr>
          <w:rFonts w:asciiTheme="majorBidi" w:hAnsiTheme="majorBidi" w:cstheme="majorBidi"/>
          <w:sz w:val="24"/>
          <w:szCs w:val="24"/>
          <w:lang w:val="en-GB"/>
        </w:rPr>
        <w:t xml:space="preserve"> the Israeli-Palestinian Interim Agreement on 28 September 1995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Oslo II</w:t>
      </w:r>
      <w:r w:rsidR="009F0BCE"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w:t>
      </w:r>
      <w:r w:rsidR="00A70764" w:rsidRPr="00100028">
        <w:rPr>
          <w:rStyle w:val="FootnoteReference"/>
          <w:rFonts w:asciiTheme="majorBidi" w:hAnsiTheme="majorBidi" w:cstheme="majorBidi"/>
          <w:sz w:val="24"/>
          <w:szCs w:val="24"/>
          <w:lang w:val="en-GB"/>
        </w:rPr>
        <w:footnoteReference w:id="89"/>
      </w:r>
      <w:r w:rsidRPr="00100028">
        <w:rPr>
          <w:rFonts w:asciiTheme="majorBidi" w:hAnsiTheme="majorBidi" w:cstheme="majorBidi"/>
          <w:sz w:val="24"/>
          <w:szCs w:val="24"/>
          <w:lang w:val="en-GB"/>
        </w:rPr>
        <w:t xml:space="preserve"> the situation </w:t>
      </w:r>
      <w:r w:rsidR="00A70764" w:rsidRPr="00100028">
        <w:rPr>
          <w:rFonts w:asciiTheme="majorBidi" w:hAnsiTheme="majorBidi" w:cstheme="majorBidi"/>
          <w:sz w:val="24"/>
          <w:szCs w:val="24"/>
          <w:lang w:val="en-GB"/>
        </w:rPr>
        <w:t xml:space="preserve">of Palestinian citizenship </w:t>
      </w:r>
      <w:r w:rsidRPr="00100028">
        <w:rPr>
          <w:rFonts w:asciiTheme="majorBidi" w:hAnsiTheme="majorBidi" w:cstheme="majorBidi"/>
          <w:sz w:val="24"/>
          <w:szCs w:val="24"/>
          <w:lang w:val="en-GB"/>
        </w:rPr>
        <w:t>chang</w:t>
      </w:r>
      <w:r w:rsidR="00A70764" w:rsidRPr="00100028">
        <w:rPr>
          <w:rFonts w:asciiTheme="majorBidi" w:hAnsiTheme="majorBidi" w:cstheme="majorBidi"/>
          <w:sz w:val="24"/>
          <w:szCs w:val="24"/>
          <w:lang w:val="en-GB"/>
        </w:rPr>
        <w:t>ed to some extent. The</w:t>
      </w:r>
      <w:r w:rsidR="007B6E18" w:rsidRPr="00100028">
        <w:rPr>
          <w:rFonts w:asciiTheme="majorBidi" w:hAnsiTheme="majorBidi" w:cstheme="majorBidi"/>
          <w:sz w:val="24"/>
          <w:szCs w:val="24"/>
          <w:lang w:val="en-GB"/>
        </w:rPr>
        <w:t>se</w:t>
      </w:r>
      <w:r w:rsidR="00A70764" w:rsidRPr="00100028">
        <w:rPr>
          <w:rFonts w:asciiTheme="majorBidi" w:hAnsiTheme="majorBidi" w:cstheme="majorBidi"/>
          <w:sz w:val="24"/>
          <w:szCs w:val="24"/>
          <w:lang w:val="en-GB"/>
        </w:rPr>
        <w:t xml:space="preserve"> two</w:t>
      </w:r>
      <w:r w:rsidRPr="00100028">
        <w:rPr>
          <w:rFonts w:asciiTheme="majorBidi" w:hAnsiTheme="majorBidi" w:cstheme="majorBidi"/>
          <w:sz w:val="24"/>
          <w:szCs w:val="24"/>
          <w:lang w:val="en-GB"/>
        </w:rPr>
        <w:t xml:space="preserve"> instruments, commonly known as the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Oslo Accords</w:t>
      </w:r>
      <w:r w:rsidR="009F0BCE"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w:t>
      </w:r>
      <w:r w:rsidR="00133ADB" w:rsidRPr="00100028">
        <w:rPr>
          <w:rFonts w:asciiTheme="majorBidi" w:hAnsiTheme="majorBidi" w:cstheme="majorBidi"/>
          <w:sz w:val="24"/>
          <w:szCs w:val="24"/>
          <w:lang w:val="en-GB"/>
        </w:rPr>
        <w:t xml:space="preserve"> gave the PA</w:t>
      </w:r>
      <w:r w:rsidRPr="00100028">
        <w:rPr>
          <w:rFonts w:asciiTheme="majorBidi" w:hAnsiTheme="majorBidi" w:cstheme="majorBidi"/>
          <w:sz w:val="24"/>
          <w:szCs w:val="24"/>
          <w:lang w:val="en-GB"/>
        </w:rPr>
        <w:t xml:space="preserve"> the right to issue </w:t>
      </w:r>
      <w:r w:rsidRPr="00100028">
        <w:rPr>
          <w:rFonts w:asciiTheme="majorBidi" w:hAnsiTheme="majorBidi" w:cstheme="majorBidi"/>
          <w:sz w:val="24"/>
          <w:szCs w:val="24"/>
          <w:lang w:val="en-GB"/>
        </w:rPr>
        <w:lastRenderedPageBreak/>
        <w:t>identity cards</w:t>
      </w:r>
      <w:r w:rsidR="00A70764" w:rsidRPr="00100028">
        <w:rPr>
          <w:rFonts w:asciiTheme="majorBidi" w:hAnsiTheme="majorBidi" w:cstheme="majorBidi"/>
          <w:sz w:val="24"/>
          <w:szCs w:val="24"/>
          <w:lang w:val="en-GB"/>
        </w:rPr>
        <w:t xml:space="preserve"> for</w:t>
      </w:r>
      <w:r w:rsidRPr="00100028">
        <w:rPr>
          <w:rFonts w:asciiTheme="majorBidi" w:hAnsiTheme="majorBidi" w:cstheme="majorBidi"/>
          <w:sz w:val="24"/>
          <w:szCs w:val="24"/>
          <w:lang w:val="en-GB"/>
        </w:rPr>
        <w:t xml:space="preserve"> inhabitants and to print Palestinian passports after notifying Israel.</w:t>
      </w:r>
      <w:r w:rsidR="00133ADB" w:rsidRPr="00100028">
        <w:rPr>
          <w:rStyle w:val="FootnoteReference"/>
          <w:rFonts w:asciiTheme="majorBidi" w:hAnsiTheme="majorBidi" w:cstheme="majorBidi"/>
          <w:sz w:val="24"/>
          <w:szCs w:val="24"/>
          <w:lang w:val="en-GB"/>
        </w:rPr>
        <w:footnoteReference w:id="90"/>
      </w:r>
      <w:r w:rsidRPr="00100028">
        <w:rPr>
          <w:rFonts w:asciiTheme="majorBidi" w:hAnsiTheme="majorBidi" w:cstheme="majorBidi"/>
          <w:sz w:val="24"/>
          <w:szCs w:val="24"/>
          <w:lang w:val="en-GB"/>
        </w:rPr>
        <w:t xml:space="preserve"> Yet Isra</w:t>
      </w:r>
      <w:r w:rsidR="000A5F3E" w:rsidRPr="00100028">
        <w:rPr>
          <w:rFonts w:asciiTheme="majorBidi" w:hAnsiTheme="majorBidi" w:cstheme="majorBidi"/>
          <w:sz w:val="24"/>
          <w:szCs w:val="24"/>
          <w:lang w:val="en-GB"/>
        </w:rPr>
        <w:t>el continued controlling the Palestine</w:t>
      </w:r>
      <w:r w:rsidR="00F130C3"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s border. The inhabitant</w:t>
      </w:r>
      <w:r w:rsidR="00A70764" w:rsidRPr="00100028">
        <w:rPr>
          <w:rFonts w:asciiTheme="majorBidi" w:hAnsiTheme="majorBidi" w:cstheme="majorBidi"/>
          <w:sz w:val="24"/>
          <w:szCs w:val="24"/>
          <w:lang w:val="en-GB"/>
        </w:rPr>
        <w:t>s could travel using PA</w:t>
      </w:r>
      <w:r w:rsidRPr="00100028">
        <w:rPr>
          <w:rFonts w:asciiTheme="majorBidi" w:hAnsiTheme="majorBidi" w:cstheme="majorBidi"/>
          <w:sz w:val="24"/>
          <w:szCs w:val="24"/>
          <w:lang w:val="en-GB"/>
        </w:rPr>
        <w:t xml:space="preserve"> passports but required the permissio</w:t>
      </w:r>
      <w:r w:rsidR="00A70764" w:rsidRPr="00100028">
        <w:rPr>
          <w:rFonts w:asciiTheme="majorBidi" w:hAnsiTheme="majorBidi" w:cstheme="majorBidi"/>
          <w:sz w:val="24"/>
          <w:szCs w:val="24"/>
          <w:lang w:val="en-GB"/>
        </w:rPr>
        <w:t>n of Israeli authorities stationed</w:t>
      </w:r>
      <w:r w:rsidRPr="00100028">
        <w:rPr>
          <w:rFonts w:asciiTheme="majorBidi" w:hAnsiTheme="majorBidi" w:cstheme="majorBidi"/>
          <w:sz w:val="24"/>
          <w:szCs w:val="24"/>
          <w:lang w:val="en-GB"/>
        </w:rPr>
        <w:t xml:space="preserve"> at the border crossing points with Jordan (</w:t>
      </w:r>
      <w:r w:rsidR="00A70764" w:rsidRPr="00100028">
        <w:rPr>
          <w:rFonts w:asciiTheme="majorBidi" w:hAnsiTheme="majorBidi" w:cstheme="majorBidi"/>
          <w:sz w:val="24"/>
          <w:szCs w:val="24"/>
          <w:lang w:val="en-GB"/>
        </w:rPr>
        <w:t>West Bank) and Egypt (Gaza</w:t>
      </w:r>
      <w:r w:rsidRPr="00100028">
        <w:rPr>
          <w:rFonts w:asciiTheme="majorBidi" w:hAnsiTheme="majorBidi" w:cstheme="majorBidi"/>
          <w:sz w:val="24"/>
          <w:szCs w:val="24"/>
          <w:lang w:val="en-GB"/>
        </w:rPr>
        <w:t>)</w:t>
      </w:r>
      <w:r w:rsidR="00A70764" w:rsidRPr="00100028">
        <w:rPr>
          <w:rFonts w:asciiTheme="majorBidi" w:hAnsiTheme="majorBidi" w:cstheme="majorBidi"/>
          <w:sz w:val="24"/>
          <w:szCs w:val="24"/>
          <w:lang w:val="en-GB"/>
        </w:rPr>
        <w:t xml:space="preserve">, as was the case </w:t>
      </w:r>
      <w:r w:rsidR="00120590" w:rsidRPr="00100028">
        <w:rPr>
          <w:rFonts w:asciiTheme="majorBidi" w:hAnsiTheme="majorBidi" w:cstheme="majorBidi"/>
          <w:sz w:val="24"/>
          <w:szCs w:val="24"/>
          <w:lang w:val="en-GB"/>
        </w:rPr>
        <w:t>before the Accords</w:t>
      </w:r>
      <w:r w:rsidRPr="00100028">
        <w:rPr>
          <w:rFonts w:asciiTheme="majorBidi" w:hAnsiTheme="majorBidi" w:cstheme="majorBidi"/>
          <w:sz w:val="24"/>
          <w:szCs w:val="24"/>
          <w:lang w:val="en-GB"/>
        </w:rPr>
        <w:t xml:space="preserve">. Palestinian passports are now recognized by most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 xml:space="preserve">s of the world.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 xml:space="preserve">s grant entry visas to Palestinian passport holders and deal with them according to the regulations governing aliens enforced in these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 xml:space="preserve">s on the same footing as foreigners from independent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s.</w:t>
      </w:r>
      <w:r w:rsidR="00744B9A" w:rsidRPr="00100028">
        <w:rPr>
          <w:rStyle w:val="FootnoteReference"/>
          <w:rFonts w:asciiTheme="majorBidi" w:hAnsiTheme="majorBidi" w:cstheme="majorBidi"/>
          <w:sz w:val="24"/>
          <w:szCs w:val="24"/>
          <w:lang w:val="en-GB"/>
        </w:rPr>
        <w:footnoteReference w:id="91"/>
      </w:r>
    </w:p>
    <w:p w:rsidR="00A52788" w:rsidRPr="00100028" w:rsidRDefault="00A52788" w:rsidP="00100028">
      <w:pPr>
        <w:bidi w:val="0"/>
        <w:jc w:val="both"/>
        <w:rPr>
          <w:rFonts w:asciiTheme="majorBidi" w:hAnsiTheme="majorBidi" w:cstheme="majorBidi"/>
          <w:sz w:val="24"/>
          <w:szCs w:val="24"/>
          <w:lang w:val="en-GB"/>
        </w:rPr>
      </w:pPr>
    </w:p>
    <w:p w:rsidR="00133ADB"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A number of changes relating to Palestinian </w:t>
      </w:r>
      <w:r w:rsidR="003B4898" w:rsidRPr="00100028">
        <w:rPr>
          <w:rFonts w:asciiTheme="majorBidi" w:hAnsiTheme="majorBidi" w:cstheme="majorBidi"/>
          <w:sz w:val="24"/>
          <w:szCs w:val="24"/>
          <w:lang w:val="en-GB"/>
        </w:rPr>
        <w:t>citizenship</w:t>
      </w:r>
      <w:r w:rsidRPr="00100028">
        <w:rPr>
          <w:rFonts w:asciiTheme="majorBidi" w:hAnsiTheme="majorBidi" w:cstheme="majorBidi"/>
          <w:sz w:val="24"/>
          <w:szCs w:val="24"/>
          <w:lang w:val="en-GB"/>
        </w:rPr>
        <w:t xml:space="preserve"> occurred after the signing of the Oslo Accords.</w:t>
      </w:r>
      <w:r w:rsidR="009A0DC4" w:rsidRPr="00100028">
        <w:rPr>
          <w:rStyle w:val="FootnoteReference"/>
          <w:rFonts w:asciiTheme="majorBidi" w:hAnsiTheme="majorBidi" w:cstheme="majorBidi"/>
          <w:sz w:val="24"/>
          <w:szCs w:val="24"/>
          <w:lang w:val="en-GB"/>
        </w:rPr>
        <w:footnoteReference w:id="92"/>
      </w:r>
      <w:r w:rsidRPr="00100028">
        <w:rPr>
          <w:rFonts w:asciiTheme="majorBidi" w:hAnsiTheme="majorBidi" w:cstheme="majorBidi"/>
          <w:sz w:val="24"/>
          <w:szCs w:val="24"/>
          <w:lang w:val="en-GB"/>
        </w:rPr>
        <w:t xml:space="preserve"> A joint Israeli-Palestinian police force was stationed at the border crossing points. West Bankers travelling abroad via Jordan were required to pass through Israeli and Palestinian security checks</w:t>
      </w:r>
      <w:r w:rsidR="00133ADB" w:rsidRPr="00100028">
        <w:rPr>
          <w:rFonts w:asciiTheme="majorBidi" w:hAnsiTheme="majorBidi" w:cstheme="majorBidi"/>
          <w:sz w:val="24"/>
          <w:szCs w:val="24"/>
          <w:lang w:val="en-GB"/>
        </w:rPr>
        <w:t>; the same applied to Gazan</w:t>
      </w:r>
      <w:r w:rsidRPr="00100028">
        <w:rPr>
          <w:rFonts w:asciiTheme="majorBidi" w:hAnsiTheme="majorBidi" w:cstheme="majorBidi"/>
          <w:sz w:val="24"/>
          <w:szCs w:val="24"/>
          <w:lang w:val="en-GB"/>
        </w:rPr>
        <w:t xml:space="preserve">s travelling </w:t>
      </w:r>
      <w:r w:rsidR="00D252B0" w:rsidRPr="00100028">
        <w:rPr>
          <w:rFonts w:asciiTheme="majorBidi" w:hAnsiTheme="majorBidi" w:cstheme="majorBidi"/>
          <w:sz w:val="24"/>
          <w:szCs w:val="24"/>
          <w:lang w:val="en-GB"/>
        </w:rPr>
        <w:t>abroad through Egypt.</w:t>
      </w:r>
      <w:r w:rsidR="007402DC" w:rsidRPr="00100028">
        <w:rPr>
          <w:rStyle w:val="FootnoteReference"/>
          <w:rFonts w:asciiTheme="majorBidi" w:hAnsiTheme="majorBidi" w:cstheme="majorBidi"/>
          <w:sz w:val="24"/>
          <w:szCs w:val="24"/>
          <w:lang w:val="en-GB"/>
        </w:rPr>
        <w:footnoteReference w:id="93"/>
      </w:r>
      <w:r w:rsidR="00D252B0" w:rsidRPr="00100028">
        <w:rPr>
          <w:rFonts w:asciiTheme="majorBidi" w:hAnsiTheme="majorBidi" w:cstheme="majorBidi"/>
          <w:sz w:val="24"/>
          <w:szCs w:val="24"/>
          <w:lang w:val="en-GB"/>
        </w:rPr>
        <w:t xml:space="preserve"> From November 1998 to October 2000,</w:t>
      </w:r>
      <w:r w:rsidR="00133ADB" w:rsidRPr="00100028">
        <w:rPr>
          <w:rFonts w:asciiTheme="majorBidi" w:hAnsiTheme="majorBidi" w:cstheme="majorBidi"/>
          <w:sz w:val="24"/>
          <w:szCs w:val="24"/>
          <w:lang w:val="en-GB"/>
        </w:rPr>
        <w:t xml:space="preserve"> Gazan</w:t>
      </w:r>
      <w:r w:rsidR="00D252B0" w:rsidRPr="00100028">
        <w:rPr>
          <w:rFonts w:asciiTheme="majorBidi" w:hAnsiTheme="majorBidi" w:cstheme="majorBidi"/>
          <w:sz w:val="24"/>
          <w:szCs w:val="24"/>
          <w:lang w:val="en-GB"/>
        </w:rPr>
        <w:t xml:space="preserve">s </w:t>
      </w:r>
      <w:r w:rsidRPr="00100028">
        <w:rPr>
          <w:rFonts w:asciiTheme="majorBidi" w:hAnsiTheme="majorBidi" w:cstheme="majorBidi"/>
          <w:sz w:val="24"/>
          <w:szCs w:val="24"/>
          <w:lang w:val="en-GB"/>
        </w:rPr>
        <w:t xml:space="preserve">and </w:t>
      </w:r>
      <w:r w:rsidR="00D252B0" w:rsidRPr="00100028">
        <w:rPr>
          <w:rFonts w:asciiTheme="majorBidi" w:hAnsiTheme="majorBidi" w:cstheme="majorBidi"/>
          <w:sz w:val="24"/>
          <w:szCs w:val="24"/>
          <w:lang w:val="en-GB"/>
        </w:rPr>
        <w:t>to a lesser extent West Bankers</w:t>
      </w:r>
      <w:r w:rsidRPr="00100028">
        <w:rPr>
          <w:rFonts w:asciiTheme="majorBidi" w:hAnsiTheme="majorBidi" w:cstheme="majorBidi"/>
          <w:sz w:val="24"/>
          <w:szCs w:val="24"/>
          <w:lang w:val="en-GB"/>
        </w:rPr>
        <w:t xml:space="preserve"> were able to travel abroad through Gaza International Airport, whic</w:t>
      </w:r>
      <w:r w:rsidR="00D252B0" w:rsidRPr="00100028">
        <w:rPr>
          <w:rFonts w:asciiTheme="majorBidi" w:hAnsiTheme="majorBidi" w:cstheme="majorBidi"/>
          <w:sz w:val="24"/>
          <w:szCs w:val="24"/>
          <w:lang w:val="en-GB"/>
        </w:rPr>
        <w:t>h</w:t>
      </w:r>
      <w:r w:rsidRPr="00100028">
        <w:rPr>
          <w:rFonts w:asciiTheme="majorBidi" w:hAnsiTheme="majorBidi" w:cstheme="majorBidi"/>
          <w:sz w:val="24"/>
          <w:szCs w:val="24"/>
          <w:lang w:val="en-GB"/>
        </w:rPr>
        <w:t xml:space="preserve"> </w:t>
      </w:r>
      <w:r w:rsidR="00D252B0" w:rsidRPr="00100028">
        <w:rPr>
          <w:rFonts w:asciiTheme="majorBidi" w:hAnsiTheme="majorBidi" w:cstheme="majorBidi"/>
          <w:sz w:val="24"/>
          <w:szCs w:val="24"/>
          <w:lang w:val="en-GB"/>
        </w:rPr>
        <w:t xml:space="preserve">the </w:t>
      </w:r>
      <w:r w:rsidRPr="00100028">
        <w:rPr>
          <w:rFonts w:asciiTheme="majorBidi" w:hAnsiTheme="majorBidi" w:cstheme="majorBidi"/>
          <w:sz w:val="24"/>
          <w:szCs w:val="24"/>
          <w:lang w:val="en-GB"/>
        </w:rPr>
        <w:t>I</w:t>
      </w:r>
      <w:r w:rsidR="00D252B0" w:rsidRPr="00100028">
        <w:rPr>
          <w:rFonts w:asciiTheme="majorBidi" w:hAnsiTheme="majorBidi" w:cstheme="majorBidi"/>
          <w:sz w:val="24"/>
          <w:szCs w:val="24"/>
          <w:lang w:val="en-GB"/>
        </w:rPr>
        <w:t>sraeli army</w:t>
      </w:r>
      <w:r w:rsidR="003F765F" w:rsidRPr="00100028">
        <w:rPr>
          <w:rFonts w:asciiTheme="majorBidi" w:hAnsiTheme="majorBidi" w:cstheme="majorBidi"/>
          <w:sz w:val="24"/>
          <w:szCs w:val="24"/>
          <w:lang w:val="en-GB"/>
        </w:rPr>
        <w:t xml:space="preserve"> destroyed in December 2001</w:t>
      </w:r>
      <w:r w:rsidRPr="00100028">
        <w:rPr>
          <w:rFonts w:asciiTheme="majorBidi" w:hAnsiTheme="majorBidi" w:cstheme="majorBidi"/>
          <w:sz w:val="24"/>
          <w:szCs w:val="24"/>
          <w:lang w:val="en-GB"/>
        </w:rPr>
        <w:t>.</w:t>
      </w:r>
      <w:r w:rsidR="00744B9A" w:rsidRPr="00100028">
        <w:rPr>
          <w:rStyle w:val="FootnoteReference"/>
          <w:rFonts w:asciiTheme="majorBidi" w:hAnsiTheme="majorBidi" w:cstheme="majorBidi"/>
          <w:sz w:val="24"/>
          <w:szCs w:val="24"/>
          <w:lang w:val="en-GB"/>
        </w:rPr>
        <w:footnoteReference w:id="94"/>
      </w:r>
      <w:r w:rsidRPr="00100028">
        <w:rPr>
          <w:rFonts w:asciiTheme="majorBidi" w:hAnsiTheme="majorBidi" w:cstheme="majorBidi"/>
          <w:sz w:val="24"/>
          <w:szCs w:val="24"/>
          <w:lang w:val="en-GB"/>
        </w:rPr>
        <w:t xml:space="preserve"> Also after the </w:t>
      </w:r>
      <w:r w:rsidRPr="00100028">
        <w:rPr>
          <w:rFonts w:asciiTheme="majorBidi" w:hAnsiTheme="majorBidi" w:cstheme="majorBidi"/>
          <w:i/>
          <w:iCs/>
          <w:sz w:val="24"/>
          <w:szCs w:val="24"/>
          <w:lang w:val="en-GB"/>
        </w:rPr>
        <w:t>intifada</w:t>
      </w:r>
      <w:r w:rsidRPr="00100028">
        <w:rPr>
          <w:rFonts w:asciiTheme="majorBidi" w:hAnsiTheme="majorBidi" w:cstheme="majorBidi"/>
          <w:sz w:val="24"/>
          <w:szCs w:val="24"/>
          <w:lang w:val="en-GB"/>
        </w:rPr>
        <w:t>, Israel prevented holders of Palestinian passports from travelling through its airports—they had in fact rarely travelled through those airports.</w:t>
      </w:r>
      <w:r w:rsidR="00744B9A" w:rsidRPr="00100028">
        <w:rPr>
          <w:rStyle w:val="FootnoteReference"/>
          <w:rFonts w:asciiTheme="majorBidi" w:hAnsiTheme="majorBidi" w:cstheme="majorBidi"/>
          <w:sz w:val="24"/>
          <w:szCs w:val="24"/>
          <w:lang w:val="en-GB"/>
        </w:rPr>
        <w:footnoteReference w:id="95"/>
      </w:r>
      <w:r w:rsidRPr="00100028">
        <w:rPr>
          <w:rFonts w:asciiTheme="majorBidi" w:hAnsiTheme="majorBidi" w:cstheme="majorBidi"/>
          <w:sz w:val="24"/>
          <w:szCs w:val="24"/>
          <w:lang w:val="en-GB"/>
        </w:rPr>
        <w:t xml:space="preserve"> Israel had the final say on whether passag</w:t>
      </w:r>
      <w:r w:rsidR="003D39A6" w:rsidRPr="00100028">
        <w:rPr>
          <w:rFonts w:asciiTheme="majorBidi" w:hAnsiTheme="majorBidi" w:cstheme="majorBidi"/>
          <w:sz w:val="24"/>
          <w:szCs w:val="24"/>
          <w:lang w:val="en-GB"/>
        </w:rPr>
        <w:t>e was permitted at all exits</w:t>
      </w:r>
      <w:r w:rsidRPr="00100028">
        <w:rPr>
          <w:rFonts w:asciiTheme="majorBidi" w:hAnsiTheme="majorBidi" w:cstheme="majorBidi"/>
          <w:sz w:val="24"/>
          <w:szCs w:val="24"/>
          <w:lang w:val="en-GB"/>
        </w:rPr>
        <w:t xml:space="preserve"> f</w:t>
      </w:r>
      <w:r w:rsidR="003D39A6" w:rsidRPr="00100028">
        <w:rPr>
          <w:rFonts w:asciiTheme="majorBidi" w:hAnsiTheme="majorBidi" w:cstheme="majorBidi"/>
          <w:sz w:val="24"/>
          <w:szCs w:val="24"/>
          <w:lang w:val="en-GB"/>
        </w:rPr>
        <w:t>rom which Palestinians depart</w:t>
      </w:r>
      <w:r w:rsidRPr="00100028">
        <w:rPr>
          <w:rFonts w:asciiTheme="majorBidi" w:hAnsiTheme="majorBidi" w:cstheme="majorBidi"/>
          <w:sz w:val="24"/>
          <w:szCs w:val="24"/>
          <w:lang w:val="en-GB"/>
        </w:rPr>
        <w:t>. Thousands of inhabitants were b</w:t>
      </w:r>
      <w:r w:rsidR="00744B9A" w:rsidRPr="00100028">
        <w:rPr>
          <w:rFonts w:asciiTheme="majorBidi" w:hAnsiTheme="majorBidi" w:cstheme="majorBidi"/>
          <w:sz w:val="24"/>
          <w:szCs w:val="24"/>
          <w:lang w:val="en-GB"/>
        </w:rPr>
        <w:t>anned from travel</w:t>
      </w:r>
      <w:r w:rsidR="003D39A6" w:rsidRPr="00100028">
        <w:rPr>
          <w:rFonts w:asciiTheme="majorBidi" w:hAnsiTheme="majorBidi" w:cstheme="majorBidi"/>
          <w:sz w:val="24"/>
          <w:szCs w:val="24"/>
          <w:lang w:val="en-GB"/>
        </w:rPr>
        <w:t>ling abroad under</w:t>
      </w:r>
      <w:r w:rsidRPr="00100028">
        <w:rPr>
          <w:rFonts w:asciiTheme="majorBidi" w:hAnsiTheme="majorBidi" w:cstheme="majorBidi"/>
          <w:sz w:val="24"/>
          <w:szCs w:val="24"/>
          <w:lang w:val="en-GB"/>
        </w:rPr>
        <w:t xml:space="preserve"> </w:t>
      </w:r>
      <w:r w:rsidR="00744B9A" w:rsidRPr="00100028">
        <w:rPr>
          <w:rFonts w:asciiTheme="majorBidi" w:hAnsiTheme="majorBidi" w:cstheme="majorBidi"/>
          <w:sz w:val="24"/>
          <w:szCs w:val="24"/>
          <w:lang w:val="en-GB"/>
        </w:rPr>
        <w:t>security</w:t>
      </w:r>
      <w:r w:rsidR="003D39A6" w:rsidRPr="00100028">
        <w:rPr>
          <w:rFonts w:asciiTheme="majorBidi" w:hAnsiTheme="majorBidi" w:cstheme="majorBidi"/>
          <w:sz w:val="24"/>
          <w:szCs w:val="24"/>
          <w:lang w:val="en-GB"/>
        </w:rPr>
        <w:t xml:space="preserve"> pretexts</w:t>
      </w:r>
      <w:r w:rsidRPr="00100028">
        <w:rPr>
          <w:rFonts w:asciiTheme="majorBidi" w:hAnsiTheme="majorBidi" w:cstheme="majorBidi"/>
          <w:sz w:val="24"/>
          <w:szCs w:val="24"/>
          <w:lang w:val="en-GB"/>
        </w:rPr>
        <w:t>.</w:t>
      </w:r>
      <w:r w:rsidR="00744B9A" w:rsidRPr="00100028">
        <w:rPr>
          <w:rStyle w:val="FootnoteReference"/>
          <w:rFonts w:asciiTheme="majorBidi" w:hAnsiTheme="majorBidi" w:cstheme="majorBidi"/>
          <w:sz w:val="24"/>
          <w:szCs w:val="24"/>
          <w:lang w:val="en-GB"/>
        </w:rPr>
        <w:footnoteReference w:id="96"/>
      </w:r>
    </w:p>
    <w:p w:rsidR="00133ADB" w:rsidRPr="00100028" w:rsidRDefault="00133ADB" w:rsidP="00100028">
      <w:pPr>
        <w:bidi w:val="0"/>
        <w:jc w:val="both"/>
        <w:rPr>
          <w:rFonts w:asciiTheme="majorBidi" w:hAnsiTheme="majorBidi" w:cstheme="majorBidi"/>
          <w:sz w:val="24"/>
          <w:szCs w:val="24"/>
          <w:lang w:val="en-GB"/>
        </w:rPr>
      </w:pPr>
    </w:p>
    <w:p w:rsidR="00A52788" w:rsidRPr="00100028" w:rsidRDefault="00133ADB"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A</w:t>
      </w:r>
      <w:r w:rsidR="00A52788" w:rsidRPr="00100028">
        <w:rPr>
          <w:rFonts w:asciiTheme="majorBidi" w:hAnsiTheme="majorBidi" w:cstheme="majorBidi"/>
          <w:sz w:val="24"/>
          <w:szCs w:val="24"/>
          <w:lang w:val="en-GB"/>
        </w:rPr>
        <w:t xml:space="preserve">t the beginning of the second </w:t>
      </w:r>
      <w:r w:rsidR="00A52788" w:rsidRPr="00100028">
        <w:rPr>
          <w:rFonts w:asciiTheme="majorBidi" w:hAnsiTheme="majorBidi" w:cstheme="majorBidi"/>
          <w:i/>
          <w:iCs/>
          <w:sz w:val="24"/>
          <w:szCs w:val="24"/>
          <w:lang w:val="en-GB"/>
        </w:rPr>
        <w:t>intifada</w:t>
      </w:r>
      <w:r w:rsidR="00775088" w:rsidRPr="00100028">
        <w:rPr>
          <w:rFonts w:asciiTheme="majorBidi" w:hAnsiTheme="majorBidi" w:cstheme="majorBidi"/>
          <w:sz w:val="24"/>
          <w:szCs w:val="24"/>
          <w:lang w:val="en-GB"/>
        </w:rPr>
        <w:t xml:space="preserve"> in 2000,</w:t>
      </w:r>
      <w:r w:rsidR="00A52788" w:rsidRPr="00100028">
        <w:rPr>
          <w:rFonts w:asciiTheme="majorBidi" w:hAnsiTheme="majorBidi" w:cstheme="majorBidi"/>
          <w:sz w:val="24"/>
          <w:szCs w:val="24"/>
          <w:lang w:val="en-GB"/>
        </w:rPr>
        <w:t xml:space="preserve"> Israel end</w:t>
      </w:r>
      <w:r w:rsidR="009057E4" w:rsidRPr="00100028">
        <w:rPr>
          <w:rFonts w:asciiTheme="majorBidi" w:hAnsiTheme="majorBidi" w:cstheme="majorBidi"/>
          <w:sz w:val="24"/>
          <w:szCs w:val="24"/>
          <w:lang w:val="en-GB"/>
        </w:rPr>
        <w:t>ed</w:t>
      </w:r>
      <w:r w:rsidR="00A52788" w:rsidRPr="00100028">
        <w:rPr>
          <w:rFonts w:asciiTheme="majorBidi" w:hAnsiTheme="majorBidi" w:cstheme="majorBidi"/>
          <w:sz w:val="24"/>
          <w:szCs w:val="24"/>
          <w:lang w:val="en-GB"/>
        </w:rPr>
        <w:t xml:space="preserve"> the nominal Palestinian</w:t>
      </w:r>
      <w:r w:rsidR="009057E4" w:rsidRPr="00100028">
        <w:rPr>
          <w:rFonts w:asciiTheme="majorBidi" w:hAnsiTheme="majorBidi" w:cstheme="majorBidi"/>
          <w:sz w:val="24"/>
          <w:szCs w:val="24"/>
          <w:lang w:val="en-GB"/>
        </w:rPr>
        <w:t xml:space="preserve"> police presence</w:t>
      </w:r>
      <w:r w:rsidR="00A52788" w:rsidRPr="00100028">
        <w:rPr>
          <w:rFonts w:asciiTheme="majorBidi" w:hAnsiTheme="majorBidi" w:cstheme="majorBidi"/>
          <w:sz w:val="24"/>
          <w:szCs w:val="24"/>
          <w:lang w:val="en-GB"/>
        </w:rPr>
        <w:t xml:space="preserve"> at border crossing points and retained exclusive control over the movement of persons.</w:t>
      </w:r>
      <w:r w:rsidR="00B05FBF" w:rsidRPr="00100028">
        <w:rPr>
          <w:rStyle w:val="FootnoteReference"/>
          <w:rFonts w:asciiTheme="majorBidi" w:hAnsiTheme="majorBidi" w:cstheme="majorBidi"/>
          <w:sz w:val="24"/>
          <w:szCs w:val="24"/>
          <w:lang w:val="en-GB"/>
        </w:rPr>
        <w:footnoteReference w:id="97"/>
      </w:r>
      <w:r w:rsidR="00A52788" w:rsidRPr="00100028">
        <w:rPr>
          <w:rFonts w:asciiTheme="majorBidi" w:hAnsiTheme="majorBidi" w:cstheme="majorBidi"/>
          <w:sz w:val="24"/>
          <w:szCs w:val="24"/>
          <w:lang w:val="en-GB"/>
        </w:rPr>
        <w:t xml:space="preserve"> Ho</w:t>
      </w:r>
      <w:r w:rsidRPr="00100028">
        <w:rPr>
          <w:rFonts w:asciiTheme="majorBidi" w:hAnsiTheme="majorBidi" w:cstheme="majorBidi"/>
          <w:sz w:val="24"/>
          <w:szCs w:val="24"/>
          <w:lang w:val="en-GB"/>
        </w:rPr>
        <w:t>wever, the PA</w:t>
      </w:r>
      <w:r w:rsidR="00A52788" w:rsidRPr="00100028">
        <w:rPr>
          <w:rFonts w:asciiTheme="majorBidi" w:hAnsiTheme="majorBidi" w:cstheme="majorBidi"/>
          <w:sz w:val="24"/>
          <w:szCs w:val="24"/>
          <w:lang w:val="en-GB"/>
        </w:rPr>
        <w:t xml:space="preserve"> maintained separate police control points near the border in the cities of Jericho (West Bank) an</w:t>
      </w:r>
      <w:r w:rsidR="00065C70" w:rsidRPr="00100028">
        <w:rPr>
          <w:rFonts w:asciiTheme="majorBidi" w:hAnsiTheme="majorBidi" w:cstheme="majorBidi"/>
          <w:sz w:val="24"/>
          <w:szCs w:val="24"/>
          <w:lang w:val="en-GB"/>
        </w:rPr>
        <w:t xml:space="preserve">d </w:t>
      </w:r>
      <w:proofErr w:type="spellStart"/>
      <w:r w:rsidR="00065C70" w:rsidRPr="00100028">
        <w:rPr>
          <w:rFonts w:asciiTheme="majorBidi" w:hAnsiTheme="majorBidi" w:cstheme="majorBidi"/>
          <w:sz w:val="24"/>
          <w:szCs w:val="24"/>
          <w:lang w:val="en-GB"/>
        </w:rPr>
        <w:t>Rafah</w:t>
      </w:r>
      <w:proofErr w:type="spellEnd"/>
      <w:r w:rsidR="00065C70" w:rsidRPr="00100028">
        <w:rPr>
          <w:rFonts w:asciiTheme="majorBidi" w:hAnsiTheme="majorBidi" w:cstheme="majorBidi"/>
          <w:sz w:val="24"/>
          <w:szCs w:val="24"/>
          <w:lang w:val="en-GB"/>
        </w:rPr>
        <w:t xml:space="preserve"> (Gaza)</w:t>
      </w:r>
      <w:r w:rsidR="00A52788" w:rsidRPr="00100028">
        <w:rPr>
          <w:rFonts w:asciiTheme="majorBidi" w:hAnsiTheme="majorBidi" w:cstheme="majorBidi"/>
          <w:sz w:val="24"/>
          <w:szCs w:val="24"/>
          <w:lang w:val="en-GB"/>
        </w:rPr>
        <w:t>.</w:t>
      </w:r>
      <w:r w:rsidR="00EB7CEE" w:rsidRPr="00100028">
        <w:rPr>
          <w:rStyle w:val="FootnoteReference"/>
          <w:rFonts w:asciiTheme="majorBidi" w:hAnsiTheme="majorBidi" w:cstheme="majorBidi"/>
          <w:sz w:val="24"/>
          <w:szCs w:val="24"/>
          <w:lang w:val="en-GB"/>
        </w:rPr>
        <w:footnoteReference w:id="98"/>
      </w:r>
      <w:r w:rsidR="00A52788" w:rsidRPr="00100028">
        <w:rPr>
          <w:rFonts w:asciiTheme="majorBidi" w:hAnsiTheme="majorBidi" w:cstheme="majorBidi"/>
          <w:sz w:val="24"/>
          <w:szCs w:val="24"/>
          <w:lang w:val="en-GB"/>
        </w:rPr>
        <w:t xml:space="preserve"> Travellers were required </w:t>
      </w:r>
      <w:r w:rsidRPr="00100028">
        <w:rPr>
          <w:rFonts w:asciiTheme="majorBidi" w:hAnsiTheme="majorBidi" w:cstheme="majorBidi"/>
          <w:sz w:val="24"/>
          <w:szCs w:val="24"/>
          <w:lang w:val="en-GB"/>
        </w:rPr>
        <w:t>to undergo Palestinian</w:t>
      </w:r>
      <w:r w:rsidR="00A52788" w:rsidRPr="00100028">
        <w:rPr>
          <w:rFonts w:asciiTheme="majorBidi" w:hAnsiTheme="majorBidi" w:cstheme="majorBidi"/>
          <w:sz w:val="24"/>
          <w:szCs w:val="24"/>
          <w:lang w:val="en-GB"/>
        </w:rPr>
        <w:t xml:space="preserve"> police checks and passport registration before proceeding to the Israeli side of the border. Passengers were required to do the same on their way back from Jordan or </w:t>
      </w:r>
      <w:r w:rsidRPr="00100028">
        <w:rPr>
          <w:rFonts w:asciiTheme="majorBidi" w:hAnsiTheme="majorBidi" w:cstheme="majorBidi"/>
          <w:sz w:val="24"/>
          <w:szCs w:val="24"/>
          <w:lang w:val="en-GB"/>
        </w:rPr>
        <w:t>Egypt. The PA</w:t>
      </w:r>
      <w:r w:rsidR="00A52788" w:rsidRPr="00100028">
        <w:rPr>
          <w:rFonts w:asciiTheme="majorBidi" w:hAnsiTheme="majorBidi" w:cstheme="majorBidi"/>
          <w:sz w:val="24"/>
          <w:szCs w:val="24"/>
          <w:lang w:val="en-GB"/>
        </w:rPr>
        <w:t xml:space="preserve"> could prevent certain West Bankers from travelling to Jordan by means of this procedure. Hamas, as a de facto authority, was able to operate a similar procedure after taking ove</w:t>
      </w:r>
      <w:r w:rsidRPr="00100028">
        <w:rPr>
          <w:rFonts w:asciiTheme="majorBidi" w:hAnsiTheme="majorBidi" w:cstheme="majorBidi"/>
          <w:sz w:val="24"/>
          <w:szCs w:val="24"/>
          <w:lang w:val="en-GB"/>
        </w:rPr>
        <w:t>r Gaza</w:t>
      </w:r>
      <w:r w:rsidR="00A52788" w:rsidRPr="00100028">
        <w:rPr>
          <w:rFonts w:asciiTheme="majorBidi" w:hAnsiTheme="majorBidi" w:cstheme="majorBidi"/>
          <w:sz w:val="24"/>
          <w:szCs w:val="24"/>
          <w:lang w:val="en-GB"/>
        </w:rPr>
        <w:t>.</w:t>
      </w:r>
      <w:r w:rsidR="00773E17" w:rsidRPr="00100028">
        <w:rPr>
          <w:rStyle w:val="FootnoteReference"/>
          <w:rFonts w:asciiTheme="majorBidi" w:hAnsiTheme="majorBidi" w:cstheme="majorBidi"/>
          <w:sz w:val="24"/>
          <w:szCs w:val="24"/>
          <w:lang w:val="en-GB"/>
        </w:rPr>
        <w:footnoteReference w:id="99"/>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9D4D15" w:rsidP="00100028">
      <w:pPr>
        <w:pStyle w:val="NormalWeb"/>
        <w:spacing w:before="0" w:beforeAutospacing="0" w:after="0" w:afterAutospacing="0"/>
        <w:jc w:val="both"/>
        <w:rPr>
          <w:rFonts w:asciiTheme="majorBidi" w:hAnsiTheme="majorBidi" w:cstheme="majorBidi"/>
          <w:lang w:val="en-GB"/>
        </w:rPr>
      </w:pPr>
      <w:r w:rsidRPr="00100028">
        <w:rPr>
          <w:rFonts w:asciiTheme="majorBidi" w:hAnsiTheme="majorBidi" w:cstheme="majorBidi"/>
          <w:lang w:val="en-GB"/>
        </w:rPr>
        <w:lastRenderedPageBreak/>
        <w:t>T</w:t>
      </w:r>
      <w:r w:rsidR="00A52788" w:rsidRPr="00100028">
        <w:rPr>
          <w:rFonts w:asciiTheme="majorBidi" w:hAnsiTheme="majorBidi" w:cstheme="majorBidi"/>
          <w:lang w:val="en-GB"/>
        </w:rPr>
        <w:t xml:space="preserve">he Oslo Accords </w:t>
      </w:r>
      <w:r w:rsidRPr="00100028">
        <w:rPr>
          <w:rFonts w:asciiTheme="majorBidi" w:hAnsiTheme="majorBidi" w:cstheme="majorBidi"/>
          <w:lang w:val="en-GB"/>
        </w:rPr>
        <w:t>affected Palestinian citizenship</w:t>
      </w:r>
      <w:r w:rsidR="003D39A6" w:rsidRPr="00100028">
        <w:rPr>
          <w:rFonts w:asciiTheme="majorBidi" w:hAnsiTheme="majorBidi" w:cstheme="majorBidi"/>
          <w:lang w:val="en-GB"/>
        </w:rPr>
        <w:t xml:space="preserve"> in a number of–albeit limited</w:t>
      </w:r>
      <w:r w:rsidR="00A52788" w:rsidRPr="00100028">
        <w:rPr>
          <w:rFonts w:asciiTheme="majorBidi" w:hAnsiTheme="majorBidi" w:cstheme="majorBidi"/>
          <w:lang w:val="en-GB"/>
        </w:rPr>
        <w:t>– positive ways.</w:t>
      </w:r>
      <w:r w:rsidR="00773E17" w:rsidRPr="00100028">
        <w:rPr>
          <w:rStyle w:val="FootnoteReference"/>
          <w:rFonts w:asciiTheme="majorBidi" w:hAnsiTheme="majorBidi" w:cstheme="majorBidi"/>
          <w:lang w:val="en-GB"/>
        </w:rPr>
        <w:footnoteReference w:id="100"/>
      </w:r>
      <w:r w:rsidR="00A52788" w:rsidRPr="00100028">
        <w:rPr>
          <w:rFonts w:asciiTheme="majorBidi" w:hAnsiTheme="majorBidi" w:cstheme="majorBidi"/>
          <w:lang w:val="en-GB"/>
        </w:rPr>
        <w:t xml:space="preserve"> Thousands of persons were enabled to acquire permanent residency in</w:t>
      </w:r>
      <w:r w:rsidRPr="00100028">
        <w:rPr>
          <w:rFonts w:asciiTheme="majorBidi" w:hAnsiTheme="majorBidi" w:cstheme="majorBidi"/>
          <w:lang w:val="en-GB"/>
        </w:rPr>
        <w:t xml:space="preserve"> the West Bank or Gaza</w:t>
      </w:r>
      <w:r w:rsidR="00A52788" w:rsidRPr="00100028">
        <w:rPr>
          <w:rFonts w:asciiTheme="majorBidi" w:hAnsiTheme="majorBidi" w:cstheme="majorBidi"/>
          <w:lang w:val="en-GB"/>
        </w:rPr>
        <w:t xml:space="preserve"> and to obtain Palestinian identity cards and passports. The persons concerned, commonly known amongst the local population as </w:t>
      </w:r>
      <w:r w:rsidR="00893F12" w:rsidRPr="00100028">
        <w:rPr>
          <w:rFonts w:asciiTheme="majorBidi" w:hAnsiTheme="majorBidi" w:cstheme="majorBidi"/>
          <w:lang w:val="en-GB"/>
        </w:rPr>
        <w:t>“</w:t>
      </w:r>
      <w:r w:rsidR="00A52788" w:rsidRPr="00100028">
        <w:rPr>
          <w:rFonts w:asciiTheme="majorBidi" w:hAnsiTheme="majorBidi" w:cstheme="majorBidi"/>
          <w:lang w:val="en-GB"/>
        </w:rPr>
        <w:t>the returnees</w:t>
      </w:r>
      <w:r w:rsidR="009F0BCE" w:rsidRPr="00100028">
        <w:rPr>
          <w:rFonts w:asciiTheme="majorBidi" w:hAnsiTheme="majorBidi" w:cstheme="majorBidi"/>
          <w:lang w:val="en-GB"/>
        </w:rPr>
        <w:t>”,</w:t>
      </w:r>
      <w:r w:rsidR="00A52788" w:rsidRPr="00100028">
        <w:rPr>
          <w:rFonts w:asciiTheme="majorBidi" w:hAnsiTheme="majorBidi" w:cstheme="majorBidi"/>
          <w:lang w:val="en-GB"/>
        </w:rPr>
        <w:t xml:space="preserve"> belong to five categories: (1) officers recruited by the P</w:t>
      </w:r>
      <w:r w:rsidR="009057E4" w:rsidRPr="00100028">
        <w:rPr>
          <w:rFonts w:asciiTheme="majorBidi" w:hAnsiTheme="majorBidi" w:cstheme="majorBidi"/>
          <w:lang w:val="en-GB"/>
        </w:rPr>
        <w:t>LO</w:t>
      </w:r>
      <w:r w:rsidR="00A52788" w:rsidRPr="00100028">
        <w:rPr>
          <w:rFonts w:asciiTheme="majorBidi" w:hAnsiTheme="majorBidi" w:cstheme="majorBidi"/>
          <w:lang w:val="en-GB"/>
        </w:rPr>
        <w:t xml:space="preserve"> from abroa</w:t>
      </w:r>
      <w:r w:rsidR="003D39A6" w:rsidRPr="00100028">
        <w:rPr>
          <w:rFonts w:asciiTheme="majorBidi" w:hAnsiTheme="majorBidi" w:cstheme="majorBidi"/>
          <w:lang w:val="en-GB"/>
        </w:rPr>
        <w:t>d (i.e. from among non-</w:t>
      </w:r>
      <w:r w:rsidR="00A52788" w:rsidRPr="00100028">
        <w:rPr>
          <w:rFonts w:asciiTheme="majorBidi" w:hAnsiTheme="majorBidi" w:cstheme="majorBidi"/>
          <w:lang w:val="en-GB"/>
        </w:rPr>
        <w:t>r</w:t>
      </w:r>
      <w:r w:rsidR="009057E4" w:rsidRPr="00100028">
        <w:rPr>
          <w:rFonts w:asciiTheme="majorBidi" w:hAnsiTheme="majorBidi" w:cstheme="majorBidi"/>
          <w:lang w:val="en-GB"/>
        </w:rPr>
        <w:t>esidents of the West Bank or Gaza</w:t>
      </w:r>
      <w:r w:rsidR="00A52788" w:rsidRPr="00100028">
        <w:rPr>
          <w:rFonts w:asciiTheme="majorBidi" w:hAnsiTheme="majorBidi" w:cstheme="majorBidi"/>
          <w:lang w:val="en-GB"/>
        </w:rPr>
        <w:t>), mostly Palestinian refugees with Jordanian passports or Egyptian travel documents;</w:t>
      </w:r>
      <w:r w:rsidR="0003502E" w:rsidRPr="00100028">
        <w:rPr>
          <w:rStyle w:val="FootnoteReference"/>
          <w:rFonts w:asciiTheme="majorBidi" w:hAnsiTheme="majorBidi" w:cstheme="majorBidi"/>
          <w:lang w:val="en-GB"/>
        </w:rPr>
        <w:footnoteReference w:id="101"/>
      </w:r>
      <w:r w:rsidR="00A52788" w:rsidRPr="00100028">
        <w:rPr>
          <w:rFonts w:asciiTheme="majorBidi" w:hAnsiTheme="majorBidi" w:cstheme="majorBidi"/>
          <w:lang w:val="en-GB"/>
        </w:rPr>
        <w:t xml:space="preserve"> (2) employees recruited to wo</w:t>
      </w:r>
      <w:r w:rsidRPr="00100028">
        <w:rPr>
          <w:rFonts w:asciiTheme="majorBidi" w:hAnsiTheme="majorBidi" w:cstheme="majorBidi"/>
          <w:lang w:val="en-GB"/>
        </w:rPr>
        <w:t>rk for the PA</w:t>
      </w:r>
      <w:r w:rsidR="003D39A6" w:rsidRPr="00100028">
        <w:rPr>
          <w:rFonts w:asciiTheme="majorBidi" w:hAnsiTheme="majorBidi" w:cstheme="majorBidi"/>
          <w:color w:val="000000" w:themeColor="text1"/>
          <w:lang w:val="en-GB"/>
        </w:rPr>
        <w:t xml:space="preserve"> who were</w:t>
      </w:r>
      <w:r w:rsidR="00A52788" w:rsidRPr="00100028">
        <w:rPr>
          <w:rFonts w:asciiTheme="majorBidi" w:hAnsiTheme="majorBidi" w:cstheme="majorBidi"/>
          <w:color w:val="000000" w:themeColor="text1"/>
          <w:lang w:val="en-GB"/>
        </w:rPr>
        <w:t xml:space="preserve"> mostly </w:t>
      </w:r>
      <w:r w:rsidR="009057E4" w:rsidRPr="00100028">
        <w:rPr>
          <w:rFonts w:asciiTheme="majorBidi" w:hAnsiTheme="majorBidi" w:cstheme="majorBidi"/>
          <w:color w:val="000000" w:themeColor="text1"/>
          <w:lang w:val="en-GB"/>
        </w:rPr>
        <w:t>PLO officials</w:t>
      </w:r>
      <w:r w:rsidR="00A52788" w:rsidRPr="00100028">
        <w:rPr>
          <w:rFonts w:asciiTheme="majorBidi" w:hAnsiTheme="majorBidi" w:cstheme="majorBidi"/>
          <w:color w:val="000000" w:themeColor="text1"/>
          <w:lang w:val="en-GB"/>
        </w:rPr>
        <w:t>;</w:t>
      </w:r>
      <w:r w:rsidR="00A52788" w:rsidRPr="00100028">
        <w:rPr>
          <w:rFonts w:asciiTheme="majorBidi" w:hAnsiTheme="majorBidi" w:cstheme="majorBidi"/>
          <w:lang w:val="en-GB"/>
        </w:rPr>
        <w:t xml:space="preserve"> (3) </w:t>
      </w:r>
      <w:r w:rsidR="00893F12" w:rsidRPr="00100028">
        <w:rPr>
          <w:rFonts w:asciiTheme="majorBidi" w:hAnsiTheme="majorBidi" w:cstheme="majorBidi"/>
          <w:color w:val="000000" w:themeColor="text1"/>
          <w:lang w:val="en-GB"/>
        </w:rPr>
        <w:t>“</w:t>
      </w:r>
      <w:r w:rsidR="00A52788" w:rsidRPr="00100028">
        <w:rPr>
          <w:rFonts w:asciiTheme="majorBidi" w:hAnsiTheme="majorBidi" w:cstheme="majorBidi"/>
          <w:color w:val="000000" w:themeColor="text1"/>
          <w:lang w:val="en-GB"/>
        </w:rPr>
        <w:t>investors, for the purpose of encouraging investment</w:t>
      </w:r>
      <w:r w:rsidR="009F0BCE" w:rsidRPr="00100028">
        <w:rPr>
          <w:rFonts w:asciiTheme="majorBidi" w:hAnsiTheme="majorBidi" w:cstheme="majorBidi"/>
          <w:lang w:val="en-GB"/>
        </w:rPr>
        <w:t>”</w:t>
      </w:r>
      <w:r w:rsidR="0003502E" w:rsidRPr="00100028">
        <w:rPr>
          <w:rFonts w:asciiTheme="majorBidi" w:hAnsiTheme="majorBidi" w:cstheme="majorBidi"/>
          <w:color w:val="000000" w:themeColor="text1"/>
          <w:lang w:val="en-GB"/>
        </w:rPr>
        <w:t>,</w:t>
      </w:r>
      <w:r w:rsidR="00A52788" w:rsidRPr="00100028">
        <w:rPr>
          <w:rFonts w:asciiTheme="majorBidi" w:hAnsiTheme="majorBidi" w:cstheme="majorBidi"/>
          <w:color w:val="000000" w:themeColor="text1"/>
          <w:lang w:val="en-GB"/>
        </w:rPr>
        <w:t xml:space="preserve"> who are mostly Palestinian refugees from the business community;</w:t>
      </w:r>
      <w:r w:rsidR="00A52788" w:rsidRPr="00100028">
        <w:rPr>
          <w:rFonts w:asciiTheme="majorBidi" w:hAnsiTheme="majorBidi" w:cstheme="majorBidi"/>
          <w:lang w:val="en-GB"/>
        </w:rPr>
        <w:t xml:space="preserve"> (4) </w:t>
      </w:r>
      <w:r w:rsidR="00893F12" w:rsidRPr="00100028">
        <w:rPr>
          <w:rFonts w:asciiTheme="majorBidi" w:hAnsiTheme="majorBidi" w:cstheme="majorBidi"/>
          <w:color w:val="000000" w:themeColor="text1"/>
          <w:lang w:val="en-GB"/>
        </w:rPr>
        <w:t>“</w:t>
      </w:r>
      <w:r w:rsidR="00A52788" w:rsidRPr="00100028">
        <w:rPr>
          <w:rFonts w:asciiTheme="majorBidi" w:hAnsiTheme="majorBidi" w:cstheme="majorBidi"/>
          <w:color w:val="000000" w:themeColor="text1"/>
          <w:lang w:val="en-GB"/>
        </w:rPr>
        <w:t>spouses and children of Palestinian residents</w:t>
      </w:r>
      <w:r w:rsidR="009F0BCE" w:rsidRPr="00100028">
        <w:rPr>
          <w:rFonts w:asciiTheme="majorBidi" w:hAnsiTheme="majorBidi" w:cstheme="majorBidi"/>
          <w:lang w:val="en-GB"/>
        </w:rPr>
        <w:t>”</w:t>
      </w:r>
      <w:r w:rsidR="00A52788" w:rsidRPr="00100028">
        <w:rPr>
          <w:rFonts w:asciiTheme="majorBidi" w:hAnsiTheme="majorBidi" w:cstheme="majorBidi"/>
          <w:color w:val="000000" w:themeColor="text1"/>
          <w:lang w:val="en-GB"/>
        </w:rPr>
        <w:t>;</w:t>
      </w:r>
      <w:r w:rsidR="00A52788" w:rsidRPr="00100028">
        <w:rPr>
          <w:rFonts w:asciiTheme="majorBidi" w:hAnsiTheme="majorBidi" w:cstheme="majorBidi"/>
          <w:lang w:val="en-GB"/>
        </w:rPr>
        <w:t xml:space="preserve"> (5) </w:t>
      </w:r>
      <w:r w:rsidR="00893F12" w:rsidRPr="00100028">
        <w:rPr>
          <w:rFonts w:asciiTheme="majorBidi" w:hAnsiTheme="majorBidi" w:cstheme="majorBidi"/>
          <w:color w:val="000000" w:themeColor="text1"/>
          <w:lang w:val="en-GB"/>
        </w:rPr>
        <w:t>“</w:t>
      </w:r>
      <w:r w:rsidR="00A52788" w:rsidRPr="00100028">
        <w:rPr>
          <w:rFonts w:asciiTheme="majorBidi" w:hAnsiTheme="majorBidi" w:cstheme="majorBidi"/>
          <w:color w:val="000000" w:themeColor="text1"/>
          <w:lang w:val="en-GB"/>
        </w:rPr>
        <w:t>other persons, for humanitarian reasons, in order to promote and upgrade family reunification</w:t>
      </w:r>
      <w:r w:rsidR="009F0BCE" w:rsidRPr="00100028">
        <w:rPr>
          <w:rFonts w:asciiTheme="majorBidi" w:hAnsiTheme="majorBidi" w:cstheme="majorBidi"/>
          <w:lang w:val="en-GB"/>
        </w:rPr>
        <w:t>”</w:t>
      </w:r>
      <w:r w:rsidR="0003502E" w:rsidRPr="00100028">
        <w:rPr>
          <w:rFonts w:asciiTheme="majorBidi" w:hAnsiTheme="majorBidi" w:cstheme="majorBidi"/>
          <w:color w:val="000000" w:themeColor="text1"/>
          <w:lang w:val="en-GB"/>
        </w:rPr>
        <w:t>.</w:t>
      </w:r>
      <w:r w:rsidR="0003502E" w:rsidRPr="00100028">
        <w:rPr>
          <w:rStyle w:val="FootnoteReference"/>
          <w:rFonts w:asciiTheme="majorBidi" w:hAnsiTheme="majorBidi" w:cstheme="majorBidi"/>
          <w:lang w:val="en-GB"/>
        </w:rPr>
        <w:footnoteReference w:id="102"/>
      </w:r>
      <w:r w:rsidR="00A52788" w:rsidRPr="00100028">
        <w:rPr>
          <w:rFonts w:asciiTheme="majorBidi" w:hAnsiTheme="majorBidi" w:cstheme="majorBidi"/>
          <w:lang w:val="en-GB"/>
        </w:rPr>
        <w:t xml:space="preserve"> </w:t>
      </w:r>
      <w:r w:rsidR="0003502E" w:rsidRPr="00100028">
        <w:rPr>
          <w:rFonts w:asciiTheme="majorBidi" w:hAnsiTheme="majorBidi" w:cstheme="majorBidi"/>
          <w:color w:val="000000" w:themeColor="text1"/>
          <w:lang w:val="en-GB"/>
        </w:rPr>
        <w:t>The PA</w:t>
      </w:r>
      <w:r w:rsidR="00A52788" w:rsidRPr="00100028">
        <w:rPr>
          <w:rFonts w:asciiTheme="majorBidi" w:hAnsiTheme="majorBidi" w:cstheme="majorBidi"/>
          <w:color w:val="000000" w:themeColor="text1"/>
          <w:lang w:val="en-GB"/>
        </w:rPr>
        <w:t xml:space="preserve"> grant</w:t>
      </w:r>
      <w:r w:rsidR="009057E4" w:rsidRPr="00100028">
        <w:rPr>
          <w:rFonts w:asciiTheme="majorBidi" w:hAnsiTheme="majorBidi" w:cstheme="majorBidi"/>
          <w:color w:val="000000" w:themeColor="text1"/>
          <w:lang w:val="en-GB"/>
        </w:rPr>
        <w:t>ed</w:t>
      </w:r>
      <w:r w:rsidR="00A52788" w:rsidRPr="00100028">
        <w:rPr>
          <w:rFonts w:asciiTheme="majorBidi" w:hAnsiTheme="majorBidi" w:cstheme="majorBidi"/>
          <w:color w:val="000000" w:themeColor="text1"/>
          <w:lang w:val="en-GB"/>
        </w:rPr>
        <w:t xml:space="preserve"> such pe</w:t>
      </w:r>
      <w:r w:rsidR="0003502E" w:rsidRPr="00100028">
        <w:rPr>
          <w:rFonts w:asciiTheme="majorBidi" w:hAnsiTheme="majorBidi" w:cstheme="majorBidi"/>
          <w:color w:val="000000" w:themeColor="text1"/>
          <w:lang w:val="en-GB"/>
        </w:rPr>
        <w:t>rmanent residency</w:t>
      </w:r>
      <w:r w:rsidR="00A52788" w:rsidRPr="00100028">
        <w:rPr>
          <w:rFonts w:asciiTheme="majorBidi" w:hAnsiTheme="majorBidi" w:cstheme="majorBidi"/>
          <w:color w:val="000000" w:themeColor="text1"/>
          <w:lang w:val="en-GB"/>
        </w:rPr>
        <w:t xml:space="preserve"> on a case-by-case basis, effectively after the approval of Israel. Israel could block any decision on the granting of permanent residency, and it </w:t>
      </w:r>
      <w:r w:rsidR="009057E4" w:rsidRPr="00100028">
        <w:rPr>
          <w:rFonts w:asciiTheme="majorBidi" w:hAnsiTheme="majorBidi" w:cstheme="majorBidi"/>
          <w:color w:val="000000" w:themeColor="text1"/>
          <w:lang w:val="en-GB"/>
        </w:rPr>
        <w:t>did so when it froze</w:t>
      </w:r>
      <w:r w:rsidR="00A52788" w:rsidRPr="00100028">
        <w:rPr>
          <w:rFonts w:asciiTheme="majorBidi" w:hAnsiTheme="majorBidi" w:cstheme="majorBidi"/>
          <w:color w:val="000000" w:themeColor="text1"/>
          <w:lang w:val="en-GB"/>
        </w:rPr>
        <w:t xml:space="preserve"> family reunification requests after the outbreak of the </w:t>
      </w:r>
      <w:r w:rsidR="00A52788" w:rsidRPr="00100028">
        <w:rPr>
          <w:rFonts w:asciiTheme="majorBidi" w:hAnsiTheme="majorBidi" w:cstheme="majorBidi"/>
          <w:i/>
          <w:iCs/>
          <w:color w:val="000000" w:themeColor="text1"/>
          <w:lang w:val="en-GB"/>
        </w:rPr>
        <w:t>intifada</w:t>
      </w:r>
      <w:r w:rsidR="00A52788" w:rsidRPr="00100028">
        <w:rPr>
          <w:rFonts w:asciiTheme="majorBidi" w:hAnsiTheme="majorBidi" w:cstheme="majorBidi"/>
          <w:color w:val="000000" w:themeColor="text1"/>
          <w:lang w:val="en-GB"/>
        </w:rPr>
        <w:t xml:space="preserve"> in 2000.</w:t>
      </w:r>
      <w:r w:rsidR="00C12F7C" w:rsidRPr="00100028">
        <w:rPr>
          <w:rStyle w:val="FootnoteReference"/>
          <w:rFonts w:asciiTheme="majorBidi" w:hAnsiTheme="majorBidi" w:cstheme="majorBidi"/>
          <w:lang w:val="en-GB"/>
        </w:rPr>
        <w:footnoteReference w:id="103"/>
      </w:r>
      <w:r w:rsidR="00A52788" w:rsidRPr="00100028">
        <w:rPr>
          <w:rFonts w:asciiTheme="majorBidi" w:hAnsiTheme="majorBidi" w:cstheme="majorBidi"/>
          <w:lang w:val="en-GB"/>
        </w:rPr>
        <w:t xml:space="preserve"> In addition, the Accords defined the citizens of the occupied territory for the purpose of participation in general presidential and legislative el</w:t>
      </w:r>
      <w:r w:rsidR="00C12F7C" w:rsidRPr="00100028">
        <w:rPr>
          <w:rFonts w:asciiTheme="majorBidi" w:hAnsiTheme="majorBidi" w:cstheme="majorBidi"/>
          <w:lang w:val="en-GB"/>
        </w:rPr>
        <w:t>ections in the West Bank and Gaza. Any</w:t>
      </w:r>
      <w:r w:rsidR="00A52788" w:rsidRPr="00100028">
        <w:rPr>
          <w:rFonts w:asciiTheme="majorBidi" w:hAnsiTheme="majorBidi" w:cstheme="majorBidi"/>
          <w:lang w:val="en-GB"/>
        </w:rPr>
        <w:t xml:space="preserve"> </w:t>
      </w:r>
      <w:r w:rsidR="0003502E" w:rsidRPr="00100028">
        <w:rPr>
          <w:rFonts w:asciiTheme="majorBidi" w:hAnsiTheme="majorBidi" w:cstheme="majorBidi"/>
          <w:lang w:val="en-GB"/>
        </w:rPr>
        <w:t>r</w:t>
      </w:r>
      <w:r w:rsidR="00C12F7C" w:rsidRPr="00100028">
        <w:rPr>
          <w:rFonts w:asciiTheme="majorBidi" w:hAnsiTheme="majorBidi" w:cstheme="majorBidi"/>
          <w:lang w:val="en-GB"/>
        </w:rPr>
        <w:t>esident</w:t>
      </w:r>
      <w:r w:rsidR="00A52788" w:rsidRPr="00100028">
        <w:rPr>
          <w:rFonts w:asciiTheme="majorBidi" w:hAnsiTheme="majorBidi" w:cstheme="majorBidi"/>
          <w:lang w:val="en-GB"/>
        </w:rPr>
        <w:t xml:space="preserve"> over eighteen years of age was considered to be a Palestinian citizen for that purpose.</w:t>
      </w:r>
      <w:r w:rsidR="0003502E" w:rsidRPr="00100028">
        <w:rPr>
          <w:rFonts w:asciiTheme="majorBidi" w:hAnsiTheme="majorBidi" w:cstheme="majorBidi"/>
          <w:lang w:val="en-GB"/>
        </w:rPr>
        <w:t xml:space="preserve"> C</w:t>
      </w:r>
      <w:r w:rsidR="00A52788" w:rsidRPr="00100028">
        <w:rPr>
          <w:rFonts w:asciiTheme="majorBidi" w:hAnsiTheme="majorBidi" w:cstheme="majorBidi"/>
          <w:lang w:val="en-GB"/>
        </w:rPr>
        <w:t>ertain persons who</w:t>
      </w:r>
      <w:r w:rsidR="00C12F7C" w:rsidRPr="00100028">
        <w:rPr>
          <w:rFonts w:asciiTheme="majorBidi" w:hAnsiTheme="majorBidi" w:cstheme="majorBidi"/>
          <w:lang w:val="en-GB"/>
        </w:rPr>
        <w:t xml:space="preserve"> were not recorded</w:t>
      </w:r>
      <w:r w:rsidR="00A52788" w:rsidRPr="00100028">
        <w:rPr>
          <w:rFonts w:asciiTheme="majorBidi" w:hAnsiTheme="majorBidi" w:cstheme="majorBidi"/>
          <w:lang w:val="en-GB"/>
        </w:rPr>
        <w:t xml:space="preserve"> </w:t>
      </w:r>
      <w:r w:rsidR="00C12F7C" w:rsidRPr="00100028">
        <w:rPr>
          <w:rFonts w:asciiTheme="majorBidi" w:hAnsiTheme="majorBidi" w:cstheme="majorBidi"/>
          <w:lang w:val="en-GB"/>
        </w:rPr>
        <w:t>in the population register, namely</w:t>
      </w:r>
      <w:r w:rsidR="00A52788" w:rsidRPr="00100028">
        <w:rPr>
          <w:rFonts w:asciiTheme="majorBidi" w:hAnsiTheme="majorBidi" w:cstheme="majorBidi"/>
          <w:lang w:val="en-GB"/>
        </w:rPr>
        <w:t xml:space="preserve"> who did not hold Palestinian identity ca</w:t>
      </w:r>
      <w:r w:rsidR="00C12F7C" w:rsidRPr="00100028">
        <w:rPr>
          <w:rFonts w:asciiTheme="majorBidi" w:hAnsiTheme="majorBidi" w:cstheme="majorBidi"/>
          <w:lang w:val="en-GB"/>
        </w:rPr>
        <w:t>rds, could acquire such</w:t>
      </w:r>
      <w:r w:rsidR="00A52788" w:rsidRPr="00100028">
        <w:rPr>
          <w:rFonts w:asciiTheme="majorBidi" w:hAnsiTheme="majorBidi" w:cstheme="majorBidi"/>
          <w:lang w:val="en-GB"/>
        </w:rPr>
        <w:t xml:space="preserve"> cards and become permanent r</w:t>
      </w:r>
      <w:r w:rsidR="0003502E" w:rsidRPr="00100028">
        <w:rPr>
          <w:rFonts w:asciiTheme="majorBidi" w:hAnsiTheme="majorBidi" w:cstheme="majorBidi"/>
          <w:lang w:val="en-GB"/>
        </w:rPr>
        <w:t>e</w:t>
      </w:r>
      <w:r w:rsidR="00C12F7C" w:rsidRPr="00100028">
        <w:rPr>
          <w:rFonts w:asciiTheme="majorBidi" w:hAnsiTheme="majorBidi" w:cstheme="majorBidi"/>
          <w:lang w:val="en-GB"/>
        </w:rPr>
        <w:t>sident</w:t>
      </w:r>
      <w:r w:rsidR="00A52788" w:rsidRPr="00100028">
        <w:rPr>
          <w:rFonts w:asciiTheme="majorBidi" w:hAnsiTheme="majorBidi" w:cstheme="majorBidi"/>
          <w:lang w:val="en-GB"/>
        </w:rPr>
        <w:t>.</w:t>
      </w:r>
      <w:r w:rsidR="0003502E" w:rsidRPr="00100028">
        <w:rPr>
          <w:rStyle w:val="FootnoteReference"/>
          <w:rFonts w:asciiTheme="majorBidi" w:hAnsiTheme="majorBidi" w:cstheme="majorBidi"/>
          <w:lang w:val="en-GB"/>
        </w:rPr>
        <w:footnoteReference w:id="104"/>
      </w:r>
    </w:p>
    <w:p w:rsidR="0003502E" w:rsidRPr="00100028" w:rsidRDefault="0003502E" w:rsidP="00100028">
      <w:pPr>
        <w:pStyle w:val="NormalWeb"/>
        <w:spacing w:before="0" w:beforeAutospacing="0" w:after="0" w:afterAutospacing="0"/>
        <w:jc w:val="both"/>
        <w:rPr>
          <w:rFonts w:asciiTheme="majorBidi" w:hAnsiTheme="majorBidi" w:cstheme="majorBidi"/>
          <w:lang w:val="en-GB"/>
        </w:rPr>
      </w:pPr>
    </w:p>
    <w:p w:rsidR="00A52788" w:rsidRPr="00100028" w:rsidRDefault="00A52788" w:rsidP="00100028">
      <w:pPr>
        <w:pStyle w:val="NormalWeb"/>
        <w:spacing w:before="0" w:beforeAutospacing="0" w:after="0" w:afterAutospacing="0"/>
        <w:jc w:val="both"/>
        <w:rPr>
          <w:rFonts w:asciiTheme="majorBidi" w:hAnsiTheme="majorBidi" w:cstheme="majorBidi"/>
          <w:color w:val="000000" w:themeColor="text1"/>
          <w:lang w:val="en-GB"/>
        </w:rPr>
      </w:pPr>
      <w:r w:rsidRPr="00100028">
        <w:rPr>
          <w:rFonts w:asciiTheme="majorBidi" w:hAnsiTheme="majorBidi" w:cstheme="majorBidi"/>
          <w:lang w:val="en-GB"/>
        </w:rPr>
        <w:t>Oslo II institutionalized population regis</w:t>
      </w:r>
      <w:r w:rsidR="002708DB" w:rsidRPr="00100028">
        <w:rPr>
          <w:rFonts w:asciiTheme="majorBidi" w:hAnsiTheme="majorBidi" w:cstheme="majorBidi"/>
          <w:lang w:val="en-GB"/>
        </w:rPr>
        <w:t>tration in the occupied territory</w:t>
      </w:r>
      <w:r w:rsidRPr="00100028">
        <w:rPr>
          <w:rFonts w:asciiTheme="majorBidi" w:hAnsiTheme="majorBidi" w:cstheme="majorBidi"/>
          <w:lang w:val="en-GB"/>
        </w:rPr>
        <w:t>.</w:t>
      </w:r>
      <w:r w:rsidR="002708DB" w:rsidRPr="00100028">
        <w:rPr>
          <w:rStyle w:val="FootnoteReference"/>
          <w:rFonts w:asciiTheme="majorBidi" w:hAnsiTheme="majorBidi" w:cstheme="majorBidi"/>
          <w:lang w:val="en-GB"/>
        </w:rPr>
        <w:footnoteReference w:id="105"/>
      </w:r>
      <w:r w:rsidRPr="00100028">
        <w:rPr>
          <w:rFonts w:asciiTheme="majorBidi" w:hAnsiTheme="majorBidi" w:cstheme="majorBidi"/>
          <w:lang w:val="en-GB"/>
        </w:rPr>
        <w:t xml:space="preserve"> I</w:t>
      </w:r>
      <w:r w:rsidR="002708DB" w:rsidRPr="00100028">
        <w:rPr>
          <w:rFonts w:asciiTheme="majorBidi" w:hAnsiTheme="majorBidi" w:cstheme="majorBidi"/>
          <w:lang w:val="en-GB"/>
        </w:rPr>
        <w:t>n particular, the Accord</w:t>
      </w:r>
      <w:r w:rsidR="00C12F7C" w:rsidRPr="00100028">
        <w:rPr>
          <w:rFonts w:asciiTheme="majorBidi" w:hAnsiTheme="majorBidi" w:cstheme="majorBidi"/>
          <w:lang w:val="en-GB"/>
        </w:rPr>
        <w:t>s</w:t>
      </w:r>
      <w:r w:rsidRPr="00100028">
        <w:rPr>
          <w:rFonts w:asciiTheme="majorBidi" w:hAnsiTheme="majorBidi" w:cstheme="majorBidi"/>
          <w:lang w:val="en-GB"/>
        </w:rPr>
        <w:t xml:space="preserve"> recognized </w:t>
      </w:r>
      <w:r w:rsidR="003D39A6" w:rsidRPr="00100028">
        <w:rPr>
          <w:rFonts w:asciiTheme="majorBidi" w:hAnsiTheme="majorBidi" w:cstheme="majorBidi"/>
          <w:lang w:val="en-GB"/>
        </w:rPr>
        <w:t xml:space="preserve">the </w:t>
      </w:r>
      <w:r w:rsidRPr="00100028">
        <w:rPr>
          <w:rFonts w:asciiTheme="majorBidi" w:hAnsiTheme="majorBidi" w:cstheme="majorBidi"/>
          <w:lang w:val="en-GB"/>
        </w:rPr>
        <w:t>identity cards issued by Israel for the population under occupation and replaced such cards with Palestinian cards as a sign of permanent resi</w:t>
      </w:r>
      <w:r w:rsidR="002708DB" w:rsidRPr="00100028">
        <w:rPr>
          <w:rFonts w:asciiTheme="majorBidi" w:hAnsiTheme="majorBidi" w:cstheme="majorBidi"/>
          <w:lang w:val="en-GB"/>
        </w:rPr>
        <w:t>dency. The PA</w:t>
      </w:r>
      <w:r w:rsidRPr="00100028">
        <w:rPr>
          <w:rFonts w:asciiTheme="majorBidi" w:hAnsiTheme="majorBidi" w:cstheme="majorBidi"/>
          <w:lang w:val="en-GB"/>
        </w:rPr>
        <w:t xml:space="preserve"> assumed responsibility for population affa</w:t>
      </w:r>
      <w:r w:rsidR="002708DB" w:rsidRPr="00100028">
        <w:rPr>
          <w:rFonts w:asciiTheme="majorBidi" w:hAnsiTheme="majorBidi" w:cstheme="majorBidi"/>
          <w:lang w:val="en-GB"/>
        </w:rPr>
        <w:t>irs relating to citizenship</w:t>
      </w:r>
      <w:r w:rsidRPr="00100028">
        <w:rPr>
          <w:rFonts w:asciiTheme="majorBidi" w:hAnsiTheme="majorBidi" w:cstheme="majorBidi"/>
          <w:lang w:val="en-GB"/>
        </w:rPr>
        <w:t>, including</w:t>
      </w:r>
      <w:r w:rsidRPr="00100028">
        <w:rPr>
          <w:rFonts w:asciiTheme="majorBidi" w:hAnsiTheme="majorBidi" w:cstheme="majorBidi"/>
          <w:color w:val="000000" w:themeColor="text1"/>
          <w:lang w:val="en-GB"/>
        </w:rPr>
        <w:t xml:space="preserve"> births, deaths, marriages, addresses, </w:t>
      </w:r>
      <w:r w:rsidR="002708DB" w:rsidRPr="00100028">
        <w:rPr>
          <w:rFonts w:asciiTheme="majorBidi" w:hAnsiTheme="majorBidi" w:cstheme="majorBidi"/>
          <w:color w:val="000000" w:themeColor="text1"/>
          <w:lang w:val="en-GB"/>
        </w:rPr>
        <w:t>and other matters.</w:t>
      </w:r>
      <w:r w:rsidR="00C12F7C" w:rsidRPr="00100028">
        <w:rPr>
          <w:rStyle w:val="FootnoteReference"/>
          <w:rFonts w:asciiTheme="majorBidi" w:hAnsiTheme="majorBidi" w:cstheme="majorBidi"/>
          <w:color w:val="000000" w:themeColor="text1"/>
          <w:lang w:val="en-GB"/>
        </w:rPr>
        <w:footnoteReference w:id="106"/>
      </w:r>
      <w:r w:rsidR="002708DB" w:rsidRPr="00100028">
        <w:rPr>
          <w:rFonts w:asciiTheme="majorBidi" w:hAnsiTheme="majorBidi" w:cstheme="majorBidi"/>
          <w:color w:val="000000" w:themeColor="text1"/>
          <w:lang w:val="en-GB"/>
        </w:rPr>
        <w:t xml:space="preserve"> The PA</w:t>
      </w:r>
      <w:r w:rsidRPr="00100028">
        <w:rPr>
          <w:rFonts w:asciiTheme="majorBidi" w:hAnsiTheme="majorBidi" w:cstheme="majorBidi"/>
          <w:color w:val="000000" w:themeColor="text1"/>
          <w:lang w:val="en-GB"/>
        </w:rPr>
        <w:t xml:space="preserve"> received from Israel </w:t>
      </w:r>
      <w:r w:rsidR="00893F12" w:rsidRPr="00100028">
        <w:rPr>
          <w:rFonts w:asciiTheme="majorBidi" w:hAnsiTheme="majorBidi" w:cstheme="majorBidi"/>
          <w:color w:val="000000" w:themeColor="text1"/>
          <w:lang w:val="en-GB"/>
        </w:rPr>
        <w:t>“</w:t>
      </w:r>
      <w:r w:rsidRPr="00100028">
        <w:rPr>
          <w:rFonts w:asciiTheme="majorBidi" w:hAnsiTheme="majorBidi" w:cstheme="majorBidi"/>
          <w:color w:val="000000" w:themeColor="text1"/>
          <w:lang w:val="en-GB"/>
        </w:rPr>
        <w:t xml:space="preserve">the population registry for the residents of the West Bank and the Gaza Strip in addition to files and records concerning them [including] </w:t>
      </w:r>
      <w:r w:rsidR="003B4898" w:rsidRPr="00100028">
        <w:rPr>
          <w:rFonts w:asciiTheme="majorBidi" w:hAnsiTheme="majorBidi" w:cstheme="majorBidi"/>
          <w:color w:val="000000" w:themeColor="text1"/>
          <w:lang w:val="en-GB"/>
        </w:rPr>
        <w:t>[</w:t>
      </w:r>
      <w:r w:rsidRPr="00100028">
        <w:rPr>
          <w:rFonts w:asciiTheme="majorBidi" w:hAnsiTheme="majorBidi" w:cstheme="majorBidi"/>
          <w:color w:val="000000" w:themeColor="text1"/>
          <w:lang w:val="en-GB"/>
        </w:rPr>
        <w:t>...</w:t>
      </w:r>
      <w:r w:rsidR="003B4898" w:rsidRPr="00100028">
        <w:rPr>
          <w:rFonts w:asciiTheme="majorBidi" w:hAnsiTheme="majorBidi" w:cstheme="majorBidi"/>
          <w:color w:val="000000" w:themeColor="text1"/>
          <w:lang w:val="en-GB"/>
        </w:rPr>
        <w:t>]</w:t>
      </w:r>
      <w:r w:rsidRPr="00100028">
        <w:rPr>
          <w:rFonts w:asciiTheme="majorBidi" w:hAnsiTheme="majorBidi" w:cstheme="majorBidi"/>
          <w:color w:val="000000" w:themeColor="text1"/>
          <w:lang w:val="en-GB"/>
        </w:rPr>
        <w:t xml:space="preserve"> records of births and deaths and the indexes from 1918 till 1981</w:t>
      </w:r>
      <w:r w:rsidR="009F0BCE" w:rsidRPr="00100028">
        <w:rPr>
          <w:rFonts w:asciiTheme="majorBidi" w:hAnsiTheme="majorBidi" w:cstheme="majorBidi"/>
          <w:lang w:val="en-GB"/>
        </w:rPr>
        <w:t>”</w:t>
      </w:r>
      <w:r w:rsidR="002708DB" w:rsidRPr="00100028">
        <w:rPr>
          <w:rFonts w:asciiTheme="majorBidi" w:hAnsiTheme="majorBidi" w:cstheme="majorBidi"/>
          <w:color w:val="000000" w:themeColor="text1"/>
          <w:lang w:val="en-GB"/>
        </w:rPr>
        <w:t>. The PA</w:t>
      </w:r>
      <w:r w:rsidRPr="00100028">
        <w:rPr>
          <w:rFonts w:asciiTheme="majorBidi" w:hAnsiTheme="majorBidi" w:cstheme="majorBidi"/>
          <w:color w:val="000000" w:themeColor="text1"/>
          <w:lang w:val="en-GB"/>
        </w:rPr>
        <w:t xml:space="preserve"> was mandated to register children under sixteen years of age who were born abroad </w:t>
      </w:r>
      <w:r w:rsidR="00893F12" w:rsidRPr="00100028">
        <w:rPr>
          <w:rFonts w:asciiTheme="majorBidi" w:hAnsiTheme="majorBidi" w:cstheme="majorBidi"/>
          <w:color w:val="000000" w:themeColor="text1"/>
          <w:lang w:val="en-GB"/>
        </w:rPr>
        <w:t>“</w:t>
      </w:r>
      <w:r w:rsidRPr="00100028">
        <w:rPr>
          <w:rFonts w:asciiTheme="majorBidi" w:hAnsiTheme="majorBidi" w:cstheme="majorBidi"/>
          <w:color w:val="000000" w:themeColor="text1"/>
          <w:lang w:val="en-GB"/>
        </w:rPr>
        <w:t>if either of their parents is a resident of the Gaza Strip and West Bank</w:t>
      </w:r>
      <w:r w:rsidR="009F0BCE" w:rsidRPr="00100028">
        <w:rPr>
          <w:rFonts w:asciiTheme="majorBidi" w:hAnsiTheme="majorBidi" w:cstheme="majorBidi"/>
          <w:lang w:val="en-GB"/>
        </w:rPr>
        <w:t>”</w:t>
      </w:r>
      <w:r w:rsidRPr="00100028">
        <w:rPr>
          <w:rFonts w:asciiTheme="majorBidi" w:hAnsiTheme="majorBidi" w:cstheme="majorBidi"/>
          <w:color w:val="000000" w:themeColor="text1"/>
          <w:lang w:val="en-GB"/>
        </w:rPr>
        <w:t>.</w:t>
      </w:r>
      <w:r w:rsidR="002708DB" w:rsidRPr="00100028">
        <w:rPr>
          <w:rStyle w:val="FootnoteReference"/>
          <w:rFonts w:asciiTheme="majorBidi" w:hAnsiTheme="majorBidi" w:cstheme="majorBidi"/>
          <w:color w:val="000000" w:themeColor="text1"/>
          <w:lang w:val="en-GB"/>
        </w:rPr>
        <w:footnoteReference w:id="107"/>
      </w:r>
      <w:r w:rsidR="002708DB" w:rsidRPr="00100028">
        <w:rPr>
          <w:rFonts w:asciiTheme="majorBidi" w:hAnsiTheme="majorBidi" w:cstheme="majorBidi"/>
          <w:color w:val="000000" w:themeColor="text1"/>
          <w:lang w:val="en-GB"/>
        </w:rPr>
        <w:t xml:space="preserve"> This situation</w:t>
      </w:r>
      <w:r w:rsidRPr="00100028">
        <w:rPr>
          <w:rFonts w:asciiTheme="majorBidi" w:hAnsiTheme="majorBidi" w:cstheme="majorBidi"/>
          <w:color w:val="000000" w:themeColor="text1"/>
          <w:lang w:val="en-GB"/>
        </w:rPr>
        <w:t xml:space="preserve"> </w:t>
      </w:r>
      <w:r w:rsidR="002708DB" w:rsidRPr="00100028">
        <w:rPr>
          <w:rFonts w:asciiTheme="majorBidi" w:hAnsiTheme="majorBidi" w:cstheme="majorBidi"/>
          <w:color w:val="000000" w:themeColor="text1"/>
          <w:lang w:val="en-GB"/>
        </w:rPr>
        <w:t>may constituted</w:t>
      </w:r>
      <w:r w:rsidRPr="00100028">
        <w:rPr>
          <w:rFonts w:asciiTheme="majorBidi" w:hAnsiTheme="majorBidi" w:cstheme="majorBidi"/>
          <w:color w:val="000000" w:themeColor="text1"/>
          <w:lang w:val="en-GB"/>
        </w:rPr>
        <w:t xml:space="preserve"> </w:t>
      </w:r>
      <w:r w:rsidR="002708DB" w:rsidRPr="00100028">
        <w:rPr>
          <w:rFonts w:asciiTheme="majorBidi" w:hAnsiTheme="majorBidi" w:cstheme="majorBidi"/>
          <w:color w:val="000000" w:themeColor="text1"/>
          <w:lang w:val="en-GB"/>
        </w:rPr>
        <w:t xml:space="preserve">an </w:t>
      </w:r>
      <w:r w:rsidRPr="00100028">
        <w:rPr>
          <w:rFonts w:asciiTheme="majorBidi" w:hAnsiTheme="majorBidi" w:cstheme="majorBidi"/>
          <w:color w:val="000000" w:themeColor="text1"/>
          <w:lang w:val="en-GB"/>
        </w:rPr>
        <w:t xml:space="preserve">acceptance in practice of the </w:t>
      </w:r>
      <w:r w:rsidRPr="00100028">
        <w:rPr>
          <w:rFonts w:asciiTheme="majorBidi" w:hAnsiTheme="majorBidi" w:cstheme="majorBidi"/>
          <w:i/>
          <w:iCs/>
          <w:color w:val="000000" w:themeColor="text1"/>
          <w:lang w:val="en-GB"/>
        </w:rPr>
        <w:t xml:space="preserve">jus </w:t>
      </w:r>
      <w:proofErr w:type="spellStart"/>
      <w:r w:rsidRPr="00100028">
        <w:rPr>
          <w:rFonts w:asciiTheme="majorBidi" w:hAnsiTheme="majorBidi" w:cstheme="majorBidi"/>
          <w:i/>
          <w:iCs/>
          <w:color w:val="000000" w:themeColor="text1"/>
          <w:lang w:val="en-GB"/>
        </w:rPr>
        <w:t>sanguinis</w:t>
      </w:r>
      <w:proofErr w:type="spellEnd"/>
      <w:r w:rsidRPr="00100028">
        <w:rPr>
          <w:rFonts w:asciiTheme="majorBidi" w:hAnsiTheme="majorBidi" w:cstheme="majorBidi"/>
          <w:color w:val="000000" w:themeColor="text1"/>
          <w:lang w:val="en-GB"/>
        </w:rPr>
        <w:t xml:space="preserve"> principle whereby any ch</w:t>
      </w:r>
      <w:r w:rsidR="002708DB" w:rsidRPr="00100028">
        <w:rPr>
          <w:rFonts w:asciiTheme="majorBidi" w:hAnsiTheme="majorBidi" w:cstheme="majorBidi"/>
          <w:color w:val="000000" w:themeColor="text1"/>
          <w:lang w:val="en-GB"/>
        </w:rPr>
        <w:t>ild born to a West Banker or Gazan</w:t>
      </w:r>
      <w:r w:rsidRPr="00100028">
        <w:rPr>
          <w:rFonts w:asciiTheme="majorBidi" w:hAnsiTheme="majorBidi" w:cstheme="majorBidi"/>
          <w:color w:val="000000" w:themeColor="text1"/>
          <w:lang w:val="en-GB"/>
        </w:rPr>
        <w:t xml:space="preserve"> father or mother is entitled to permanent residency, since such residency is effectively equi</w:t>
      </w:r>
      <w:r w:rsidR="002708DB" w:rsidRPr="00100028">
        <w:rPr>
          <w:rFonts w:asciiTheme="majorBidi" w:hAnsiTheme="majorBidi" w:cstheme="majorBidi"/>
          <w:color w:val="000000" w:themeColor="text1"/>
          <w:lang w:val="en-GB"/>
        </w:rPr>
        <w:t>valent to citizenship.</w:t>
      </w:r>
      <w:r w:rsidR="00A052D0" w:rsidRPr="00100028">
        <w:rPr>
          <w:rStyle w:val="FootnoteReference"/>
          <w:rFonts w:asciiTheme="majorBidi" w:hAnsiTheme="majorBidi" w:cstheme="majorBidi"/>
          <w:color w:val="000000" w:themeColor="text1"/>
          <w:lang w:val="en-GB"/>
        </w:rPr>
        <w:footnoteReference w:id="108"/>
      </w:r>
    </w:p>
    <w:p w:rsidR="00A52788" w:rsidRPr="00100028" w:rsidRDefault="00A52788" w:rsidP="00100028">
      <w:pPr>
        <w:pStyle w:val="NormalWeb"/>
        <w:spacing w:before="0" w:beforeAutospacing="0" w:after="0" w:afterAutospacing="0"/>
        <w:jc w:val="both"/>
        <w:rPr>
          <w:rFonts w:asciiTheme="majorBidi" w:hAnsiTheme="majorBidi" w:cstheme="majorBidi"/>
          <w:lang w:val="en-GB"/>
        </w:rPr>
      </w:pPr>
    </w:p>
    <w:p w:rsidR="00A52788" w:rsidRPr="00100028" w:rsidRDefault="00A52788" w:rsidP="00100028">
      <w:pPr>
        <w:pStyle w:val="NormalWeb"/>
        <w:spacing w:before="0" w:beforeAutospacing="0" w:after="0" w:afterAutospacing="0"/>
        <w:jc w:val="both"/>
        <w:rPr>
          <w:rFonts w:asciiTheme="majorBidi" w:hAnsiTheme="majorBidi" w:cstheme="majorBidi"/>
          <w:color w:val="000000" w:themeColor="text1"/>
          <w:lang w:val="en-GB"/>
        </w:rPr>
      </w:pPr>
      <w:r w:rsidRPr="00100028">
        <w:rPr>
          <w:rFonts w:asciiTheme="majorBidi" w:hAnsiTheme="majorBidi" w:cstheme="majorBidi"/>
          <w:color w:val="000000" w:themeColor="text1"/>
          <w:lang w:val="en-GB"/>
        </w:rPr>
        <w:lastRenderedPageBreak/>
        <w:t>Oslo I</w:t>
      </w:r>
      <w:r w:rsidR="002708DB" w:rsidRPr="00100028">
        <w:rPr>
          <w:rFonts w:asciiTheme="majorBidi" w:hAnsiTheme="majorBidi" w:cstheme="majorBidi"/>
          <w:color w:val="000000" w:themeColor="text1"/>
          <w:lang w:val="en-GB"/>
        </w:rPr>
        <w:t>I gave the PA</w:t>
      </w:r>
      <w:r w:rsidRPr="00100028">
        <w:rPr>
          <w:rFonts w:asciiTheme="majorBidi" w:hAnsiTheme="majorBidi" w:cstheme="majorBidi"/>
          <w:color w:val="000000" w:themeColor="text1"/>
          <w:lang w:val="en-GB"/>
        </w:rPr>
        <w:t>, after Israeli clearance, the power to issue visitors</w:t>
      </w:r>
      <w:r w:rsidR="00F130C3" w:rsidRPr="00100028">
        <w:rPr>
          <w:rFonts w:asciiTheme="majorBidi" w:hAnsiTheme="majorBidi" w:cstheme="majorBidi"/>
          <w:color w:val="000000" w:themeColor="text1"/>
          <w:lang w:val="en-GB"/>
        </w:rPr>
        <w:t>’</w:t>
      </w:r>
      <w:r w:rsidRPr="00100028">
        <w:rPr>
          <w:rFonts w:asciiTheme="majorBidi" w:hAnsiTheme="majorBidi" w:cstheme="majorBidi"/>
          <w:color w:val="000000" w:themeColor="text1"/>
          <w:lang w:val="en-GB"/>
        </w:rPr>
        <w:t xml:space="preserve"> permits for persons from </w:t>
      </w:r>
      <w:r w:rsidR="00FE2B16" w:rsidRPr="00100028">
        <w:rPr>
          <w:rFonts w:asciiTheme="majorBidi" w:hAnsiTheme="majorBidi" w:cstheme="majorBidi"/>
          <w:color w:val="000000" w:themeColor="text1"/>
          <w:lang w:val="en-GB"/>
        </w:rPr>
        <w:t>State</w:t>
      </w:r>
      <w:r w:rsidRPr="00100028">
        <w:rPr>
          <w:rFonts w:asciiTheme="majorBidi" w:hAnsiTheme="majorBidi" w:cstheme="majorBidi"/>
          <w:color w:val="000000" w:themeColor="text1"/>
          <w:lang w:val="en-GB"/>
        </w:rPr>
        <w:t>s that had no diplomatic relations with Israel.</w:t>
      </w:r>
      <w:r w:rsidR="002708DB" w:rsidRPr="00100028">
        <w:rPr>
          <w:rStyle w:val="FootnoteReference"/>
          <w:rFonts w:asciiTheme="majorBidi" w:hAnsiTheme="majorBidi" w:cstheme="majorBidi"/>
          <w:color w:val="000000" w:themeColor="text1"/>
          <w:lang w:val="en-GB"/>
        </w:rPr>
        <w:footnoteReference w:id="109"/>
      </w:r>
      <w:r w:rsidRPr="00100028">
        <w:rPr>
          <w:rFonts w:asciiTheme="majorBidi" w:hAnsiTheme="majorBidi" w:cstheme="majorBidi"/>
          <w:color w:val="000000" w:themeColor="text1"/>
          <w:lang w:val="en-GB"/>
        </w:rPr>
        <w:t xml:space="preserve"> Requests for such permits were to be filed by any relative or acquaintance of the visitor residin</w:t>
      </w:r>
      <w:r w:rsidR="002708DB" w:rsidRPr="00100028">
        <w:rPr>
          <w:rFonts w:asciiTheme="majorBidi" w:hAnsiTheme="majorBidi" w:cstheme="majorBidi"/>
          <w:color w:val="000000" w:themeColor="text1"/>
          <w:lang w:val="en-GB"/>
        </w:rPr>
        <w:t>g in the West Bank or Gaza</w:t>
      </w:r>
      <w:r w:rsidRPr="00100028">
        <w:rPr>
          <w:rFonts w:asciiTheme="majorBidi" w:hAnsiTheme="majorBidi" w:cstheme="majorBidi"/>
          <w:color w:val="000000" w:themeColor="text1"/>
          <w:lang w:val="en-GB"/>
        </w:rPr>
        <w:t>. Such visitors were permitted to remain in the occupied territory for a period of up to three months with the possibility of extension for an additional four m</w:t>
      </w:r>
      <w:r w:rsidR="002708DB" w:rsidRPr="00100028">
        <w:rPr>
          <w:rFonts w:asciiTheme="majorBidi" w:hAnsiTheme="majorBidi" w:cstheme="majorBidi"/>
          <w:color w:val="000000" w:themeColor="text1"/>
          <w:lang w:val="en-GB"/>
        </w:rPr>
        <w:t>onths. The PA</w:t>
      </w:r>
      <w:r w:rsidRPr="00100028">
        <w:rPr>
          <w:rFonts w:asciiTheme="majorBidi" w:hAnsiTheme="majorBidi" w:cstheme="majorBidi"/>
          <w:color w:val="000000" w:themeColor="text1"/>
          <w:lang w:val="en-GB"/>
        </w:rPr>
        <w:t xml:space="preserve"> could also issue visitors</w:t>
      </w:r>
      <w:r w:rsidR="00F130C3" w:rsidRPr="00100028">
        <w:rPr>
          <w:rFonts w:asciiTheme="majorBidi" w:hAnsiTheme="majorBidi" w:cstheme="majorBidi"/>
          <w:color w:val="000000" w:themeColor="text1"/>
          <w:lang w:val="en-GB"/>
        </w:rPr>
        <w:t>’</w:t>
      </w:r>
      <w:r w:rsidRPr="00100028">
        <w:rPr>
          <w:rFonts w:asciiTheme="majorBidi" w:hAnsiTheme="majorBidi" w:cstheme="majorBidi"/>
          <w:color w:val="000000" w:themeColor="text1"/>
          <w:lang w:val="en-GB"/>
        </w:rPr>
        <w:t xml:space="preserve"> permits to foreigners for the pur</w:t>
      </w:r>
      <w:r w:rsidR="000A5F3E" w:rsidRPr="00100028">
        <w:rPr>
          <w:rFonts w:asciiTheme="majorBidi" w:hAnsiTheme="majorBidi" w:cstheme="majorBidi"/>
          <w:color w:val="000000" w:themeColor="text1"/>
          <w:lang w:val="en-GB"/>
        </w:rPr>
        <w:t>pose of study or work in Palestine</w:t>
      </w:r>
      <w:r w:rsidRPr="00100028">
        <w:rPr>
          <w:rFonts w:asciiTheme="majorBidi" w:hAnsiTheme="majorBidi" w:cstheme="majorBidi"/>
          <w:color w:val="000000" w:themeColor="text1"/>
          <w:lang w:val="en-GB"/>
        </w:rPr>
        <w:t xml:space="preserve"> for an extendable period of one year. Thousand</w:t>
      </w:r>
      <w:r w:rsidR="000A5F3E" w:rsidRPr="00100028">
        <w:rPr>
          <w:rFonts w:asciiTheme="majorBidi" w:hAnsiTheme="majorBidi" w:cstheme="majorBidi"/>
          <w:color w:val="000000" w:themeColor="text1"/>
          <w:lang w:val="en-GB"/>
        </w:rPr>
        <w:t>s of persons who entered the country</w:t>
      </w:r>
      <w:r w:rsidRPr="00100028">
        <w:rPr>
          <w:rFonts w:asciiTheme="majorBidi" w:hAnsiTheme="majorBidi" w:cstheme="majorBidi"/>
          <w:color w:val="000000" w:themeColor="text1"/>
          <w:lang w:val="en-GB"/>
        </w:rPr>
        <w:t xml:space="preserve"> under these provisions overstayed, especially spouses who had marri</w:t>
      </w:r>
      <w:r w:rsidR="0084424C" w:rsidRPr="00100028">
        <w:rPr>
          <w:rFonts w:asciiTheme="majorBidi" w:hAnsiTheme="majorBidi" w:cstheme="majorBidi"/>
          <w:color w:val="000000" w:themeColor="text1"/>
          <w:lang w:val="en-GB"/>
        </w:rPr>
        <w:t>ed local inhabitants and formed</w:t>
      </w:r>
      <w:r w:rsidRPr="00100028">
        <w:rPr>
          <w:rFonts w:asciiTheme="majorBidi" w:hAnsiTheme="majorBidi" w:cstheme="majorBidi"/>
          <w:color w:val="000000" w:themeColor="text1"/>
          <w:lang w:val="en-GB"/>
        </w:rPr>
        <w:t xml:space="preserve"> families. While the status of many of these persons was regularized through family reunification procedures whereby they acquired identity cards and Palestinian passports, the cases of many others a</w:t>
      </w:r>
      <w:r w:rsidR="002708DB" w:rsidRPr="00100028">
        <w:rPr>
          <w:rFonts w:asciiTheme="majorBidi" w:hAnsiTheme="majorBidi" w:cstheme="majorBidi"/>
          <w:color w:val="000000" w:themeColor="text1"/>
          <w:lang w:val="en-GB"/>
        </w:rPr>
        <w:t>re still pending.</w:t>
      </w:r>
      <w:r w:rsidR="0084424C" w:rsidRPr="00100028">
        <w:rPr>
          <w:rStyle w:val="FootnoteReference"/>
          <w:rFonts w:asciiTheme="majorBidi" w:hAnsiTheme="majorBidi" w:cstheme="majorBidi"/>
          <w:color w:val="000000" w:themeColor="text1"/>
          <w:lang w:val="en-GB"/>
        </w:rPr>
        <w:footnoteReference w:id="110"/>
      </w:r>
      <w:r w:rsidR="002708DB" w:rsidRPr="00100028">
        <w:rPr>
          <w:rFonts w:asciiTheme="majorBidi" w:hAnsiTheme="majorBidi" w:cstheme="majorBidi"/>
          <w:color w:val="000000" w:themeColor="text1"/>
          <w:lang w:val="en-GB"/>
        </w:rPr>
        <w:t xml:space="preserve"> A</w:t>
      </w:r>
      <w:r w:rsidRPr="00100028">
        <w:rPr>
          <w:rFonts w:asciiTheme="majorBidi" w:hAnsiTheme="majorBidi" w:cstheme="majorBidi"/>
          <w:color w:val="000000" w:themeColor="text1"/>
          <w:lang w:val="en-GB"/>
        </w:rPr>
        <w:t xml:space="preserve"> smaller number of persons from </w:t>
      </w:r>
      <w:r w:rsidR="00FE2B16" w:rsidRPr="00100028">
        <w:rPr>
          <w:rFonts w:asciiTheme="majorBidi" w:hAnsiTheme="majorBidi" w:cstheme="majorBidi"/>
          <w:color w:val="000000" w:themeColor="text1"/>
          <w:lang w:val="en-GB"/>
        </w:rPr>
        <w:t>State</w:t>
      </w:r>
      <w:r w:rsidRPr="00100028">
        <w:rPr>
          <w:rFonts w:asciiTheme="majorBidi" w:hAnsiTheme="majorBidi" w:cstheme="majorBidi"/>
          <w:color w:val="000000" w:themeColor="text1"/>
          <w:lang w:val="en-GB"/>
        </w:rPr>
        <w:t>s that have diplomatic relations with Isra</w:t>
      </w:r>
      <w:r w:rsidR="008D24FF" w:rsidRPr="00100028">
        <w:rPr>
          <w:rFonts w:asciiTheme="majorBidi" w:hAnsiTheme="majorBidi" w:cstheme="majorBidi"/>
          <w:color w:val="000000" w:themeColor="text1"/>
          <w:lang w:val="en-GB"/>
        </w:rPr>
        <w:t>el, who visited Palestine</w:t>
      </w:r>
      <w:r w:rsidRPr="00100028">
        <w:rPr>
          <w:rFonts w:asciiTheme="majorBidi" w:hAnsiTheme="majorBidi" w:cstheme="majorBidi"/>
          <w:color w:val="000000" w:themeColor="text1"/>
          <w:lang w:val="en-GB"/>
        </w:rPr>
        <w:t xml:space="preserve"> by obtaining visitors</w:t>
      </w:r>
      <w:r w:rsidR="00F130C3" w:rsidRPr="00100028">
        <w:rPr>
          <w:rFonts w:asciiTheme="majorBidi" w:hAnsiTheme="majorBidi" w:cstheme="majorBidi"/>
          <w:color w:val="000000" w:themeColor="text1"/>
          <w:lang w:val="en-GB"/>
        </w:rPr>
        <w:t>’</w:t>
      </w:r>
      <w:r w:rsidRPr="00100028">
        <w:rPr>
          <w:rFonts w:asciiTheme="majorBidi" w:hAnsiTheme="majorBidi" w:cstheme="majorBidi"/>
          <w:color w:val="000000" w:themeColor="text1"/>
          <w:lang w:val="en-GB"/>
        </w:rPr>
        <w:t xml:space="preserve"> permit</w:t>
      </w:r>
      <w:r w:rsidR="002708DB" w:rsidRPr="00100028">
        <w:rPr>
          <w:rFonts w:asciiTheme="majorBidi" w:hAnsiTheme="majorBidi" w:cstheme="majorBidi"/>
          <w:color w:val="000000" w:themeColor="text1"/>
          <w:lang w:val="en-GB"/>
        </w:rPr>
        <w:t>s from the PA</w:t>
      </w:r>
      <w:r w:rsidR="005C6DBB" w:rsidRPr="00100028">
        <w:rPr>
          <w:rFonts w:asciiTheme="majorBidi" w:hAnsiTheme="majorBidi" w:cstheme="majorBidi"/>
          <w:color w:val="000000" w:themeColor="text1"/>
          <w:lang w:val="en-GB"/>
        </w:rPr>
        <w:t>,</w:t>
      </w:r>
      <w:r w:rsidR="005C6DBB" w:rsidRPr="00100028">
        <w:rPr>
          <w:rStyle w:val="FootnoteReference"/>
          <w:rFonts w:asciiTheme="majorBidi" w:hAnsiTheme="majorBidi" w:cstheme="majorBidi"/>
          <w:color w:val="000000" w:themeColor="text1"/>
          <w:lang w:val="en-GB"/>
        </w:rPr>
        <w:footnoteReference w:id="111"/>
      </w:r>
      <w:r w:rsidRPr="00100028">
        <w:rPr>
          <w:rFonts w:asciiTheme="majorBidi" w:hAnsiTheme="majorBidi" w:cstheme="majorBidi"/>
          <w:color w:val="000000" w:themeColor="text1"/>
          <w:lang w:val="en-GB"/>
        </w:rPr>
        <w:t xml:space="preserve"> or by obtaining Israeli visas (under the 1952 Entry into Israel Law),</w:t>
      </w:r>
      <w:r w:rsidR="0084424C" w:rsidRPr="00100028">
        <w:rPr>
          <w:rStyle w:val="FootnoteReference"/>
          <w:rFonts w:asciiTheme="majorBidi" w:hAnsiTheme="majorBidi" w:cstheme="majorBidi"/>
          <w:color w:val="000000" w:themeColor="text1"/>
          <w:lang w:val="en-GB"/>
        </w:rPr>
        <w:footnoteReference w:id="112"/>
      </w:r>
      <w:r w:rsidRPr="00100028">
        <w:rPr>
          <w:rFonts w:asciiTheme="majorBidi" w:hAnsiTheme="majorBidi" w:cstheme="majorBidi"/>
          <w:color w:val="000000" w:themeColor="text1"/>
          <w:lang w:val="en-GB"/>
        </w:rPr>
        <w:t xml:space="preserve"> also overstayed and are deemed to be illegal residents. These persons, mostly spouses of local inhabitants, may face deportation by the Israeli authorities if they are discovered.</w:t>
      </w:r>
      <w:r w:rsidR="003058CC" w:rsidRPr="00100028">
        <w:rPr>
          <w:rStyle w:val="FootnoteReference"/>
          <w:rFonts w:asciiTheme="majorBidi" w:hAnsiTheme="majorBidi" w:cstheme="majorBidi"/>
          <w:color w:val="000000" w:themeColor="text1"/>
          <w:lang w:val="en-GB"/>
        </w:rPr>
        <w:footnoteReference w:id="113"/>
      </w:r>
    </w:p>
    <w:p w:rsidR="00A52788" w:rsidRPr="00100028" w:rsidRDefault="00A52788" w:rsidP="00100028">
      <w:pPr>
        <w:pStyle w:val="NormalWeb"/>
        <w:spacing w:before="0" w:beforeAutospacing="0" w:after="0" w:afterAutospacing="0"/>
        <w:jc w:val="both"/>
        <w:rPr>
          <w:rFonts w:asciiTheme="majorBidi" w:hAnsiTheme="majorBidi" w:cstheme="majorBidi"/>
          <w:color w:val="000000" w:themeColor="text1"/>
          <w:lang w:val="en-GB"/>
        </w:rPr>
      </w:pPr>
    </w:p>
    <w:p w:rsidR="00A07021" w:rsidRPr="00100028" w:rsidRDefault="007301BB" w:rsidP="00100028">
      <w:pPr>
        <w:pStyle w:val="NormalWeb"/>
        <w:spacing w:before="0" w:beforeAutospacing="0" w:after="0" w:afterAutospacing="0"/>
        <w:jc w:val="both"/>
        <w:rPr>
          <w:rFonts w:asciiTheme="majorBidi" w:hAnsiTheme="majorBidi" w:cstheme="majorBidi"/>
          <w:color w:val="000000" w:themeColor="text1"/>
          <w:lang w:val="en-GB"/>
        </w:rPr>
      </w:pPr>
      <w:r w:rsidRPr="00100028">
        <w:rPr>
          <w:rFonts w:asciiTheme="majorBidi" w:hAnsiTheme="majorBidi" w:cstheme="majorBidi"/>
          <w:color w:val="000000" w:themeColor="text1"/>
          <w:lang w:val="en-GB"/>
        </w:rPr>
        <w:t xml:space="preserve">This </w:t>
      </w:r>
      <w:r w:rsidR="001325C8" w:rsidRPr="00100028">
        <w:rPr>
          <w:rFonts w:asciiTheme="majorBidi" w:hAnsiTheme="majorBidi" w:cstheme="majorBidi"/>
          <w:i/>
          <w:iCs/>
          <w:color w:val="000000" w:themeColor="text1"/>
          <w:lang w:val="en-GB"/>
        </w:rPr>
        <w:t xml:space="preserve">tour </w:t>
      </w:r>
      <w:proofErr w:type="spellStart"/>
      <w:r w:rsidR="001325C8" w:rsidRPr="00100028">
        <w:rPr>
          <w:rFonts w:asciiTheme="majorBidi" w:hAnsiTheme="majorBidi" w:cstheme="majorBidi"/>
          <w:i/>
          <w:iCs/>
          <w:color w:val="000000" w:themeColor="text1"/>
          <w:lang w:val="en-GB"/>
        </w:rPr>
        <w:t>d</w:t>
      </w:r>
      <w:r w:rsidR="001325C8" w:rsidRPr="00100028">
        <w:rPr>
          <w:rFonts w:asciiTheme="majorBidi" w:hAnsiTheme="majorBidi" w:cstheme="majorBidi"/>
          <w:lang w:val="en-GB"/>
        </w:rPr>
        <w:t>’</w:t>
      </w:r>
      <w:r w:rsidRPr="00100028">
        <w:rPr>
          <w:rFonts w:asciiTheme="majorBidi" w:hAnsiTheme="majorBidi" w:cstheme="majorBidi"/>
          <w:i/>
          <w:iCs/>
          <w:color w:val="000000" w:themeColor="text1"/>
          <w:lang w:val="en-GB"/>
        </w:rPr>
        <w:t>horizon</w:t>
      </w:r>
      <w:proofErr w:type="spellEnd"/>
      <w:r w:rsidR="006771A2" w:rsidRPr="00100028">
        <w:rPr>
          <w:rFonts w:asciiTheme="majorBidi" w:hAnsiTheme="majorBidi" w:cstheme="majorBidi"/>
          <w:color w:val="000000" w:themeColor="text1"/>
          <w:lang w:val="en-GB"/>
        </w:rPr>
        <w:t xml:space="preserve"> reveals</w:t>
      </w:r>
      <w:r w:rsidR="00A52788" w:rsidRPr="00100028">
        <w:rPr>
          <w:rFonts w:asciiTheme="majorBidi" w:hAnsiTheme="majorBidi" w:cstheme="majorBidi"/>
          <w:color w:val="000000" w:themeColor="text1"/>
          <w:lang w:val="en-GB"/>
        </w:rPr>
        <w:t xml:space="preserve"> that the Oslo Accords have not significantly changed the </w:t>
      </w:r>
      <w:r w:rsidR="00A52788" w:rsidRPr="00100028">
        <w:rPr>
          <w:rFonts w:asciiTheme="majorBidi" w:hAnsiTheme="majorBidi" w:cstheme="majorBidi"/>
          <w:i/>
          <w:iCs/>
          <w:color w:val="000000" w:themeColor="text1"/>
          <w:lang w:val="en-GB"/>
        </w:rPr>
        <w:t>status quo</w:t>
      </w:r>
      <w:r w:rsidR="00A52788" w:rsidRPr="00100028">
        <w:rPr>
          <w:rFonts w:asciiTheme="majorBidi" w:hAnsiTheme="majorBidi" w:cstheme="majorBidi"/>
          <w:color w:val="000000" w:themeColor="text1"/>
          <w:lang w:val="en-GB"/>
        </w:rPr>
        <w:t xml:space="preserve"> rel</w:t>
      </w:r>
      <w:r w:rsidR="00A07021" w:rsidRPr="00100028">
        <w:rPr>
          <w:rFonts w:asciiTheme="majorBidi" w:hAnsiTheme="majorBidi" w:cstheme="majorBidi"/>
          <w:color w:val="000000" w:themeColor="text1"/>
          <w:lang w:val="en-GB"/>
        </w:rPr>
        <w:t>ating to Palestinian citizenship</w:t>
      </w:r>
      <w:r w:rsidR="00A52788" w:rsidRPr="00100028">
        <w:rPr>
          <w:rFonts w:asciiTheme="majorBidi" w:hAnsiTheme="majorBidi" w:cstheme="majorBidi"/>
          <w:color w:val="000000" w:themeColor="text1"/>
          <w:lang w:val="en-GB"/>
        </w:rPr>
        <w:t xml:space="preserve"> that was in place before the establishm</w:t>
      </w:r>
      <w:r w:rsidR="00A07021" w:rsidRPr="00100028">
        <w:rPr>
          <w:rFonts w:asciiTheme="majorBidi" w:hAnsiTheme="majorBidi" w:cstheme="majorBidi"/>
          <w:color w:val="000000" w:themeColor="text1"/>
          <w:lang w:val="en-GB"/>
        </w:rPr>
        <w:t>ent of the PA. The Accords</w:t>
      </w:r>
      <w:r w:rsidR="00A52788" w:rsidRPr="00100028">
        <w:rPr>
          <w:rFonts w:asciiTheme="majorBidi" w:hAnsiTheme="majorBidi" w:cstheme="majorBidi"/>
          <w:color w:val="000000" w:themeColor="text1"/>
          <w:lang w:val="en-GB"/>
        </w:rPr>
        <w:t xml:space="preserve"> broadly maintain</w:t>
      </w:r>
      <w:r w:rsidR="001325C8" w:rsidRPr="00100028">
        <w:rPr>
          <w:rFonts w:asciiTheme="majorBidi" w:hAnsiTheme="majorBidi" w:cstheme="majorBidi"/>
          <w:color w:val="000000" w:themeColor="text1"/>
          <w:lang w:val="en-GB"/>
        </w:rPr>
        <w:t>ed</w:t>
      </w:r>
      <w:r w:rsidR="00A52788" w:rsidRPr="00100028">
        <w:rPr>
          <w:rFonts w:asciiTheme="majorBidi" w:hAnsiTheme="majorBidi" w:cstheme="majorBidi"/>
          <w:color w:val="000000" w:themeColor="text1"/>
          <w:lang w:val="en-GB"/>
        </w:rPr>
        <w:t xml:space="preserve"> that status with minor modifications that</w:t>
      </w:r>
      <w:r w:rsidR="001325C8" w:rsidRPr="00100028">
        <w:rPr>
          <w:rFonts w:asciiTheme="majorBidi" w:hAnsiTheme="majorBidi" w:cstheme="majorBidi"/>
          <w:color w:val="000000" w:themeColor="text1"/>
          <w:lang w:val="en-GB"/>
        </w:rPr>
        <w:t xml:space="preserve"> have affected the lives of affected</w:t>
      </w:r>
      <w:r w:rsidR="00A52788" w:rsidRPr="00100028">
        <w:rPr>
          <w:rFonts w:asciiTheme="majorBidi" w:hAnsiTheme="majorBidi" w:cstheme="majorBidi"/>
          <w:color w:val="000000" w:themeColor="text1"/>
          <w:lang w:val="en-GB"/>
        </w:rPr>
        <w:t xml:space="preserve"> individuals. Since </w:t>
      </w:r>
      <w:r w:rsidR="00A07021" w:rsidRPr="00100028">
        <w:rPr>
          <w:rFonts w:asciiTheme="majorBidi" w:hAnsiTheme="majorBidi" w:cstheme="majorBidi"/>
          <w:color w:val="000000" w:themeColor="text1"/>
          <w:lang w:val="en-GB"/>
        </w:rPr>
        <w:t>the Accords, Palestinian citizenship</w:t>
      </w:r>
      <w:r w:rsidR="00F25DC1" w:rsidRPr="00100028">
        <w:rPr>
          <w:rFonts w:asciiTheme="majorBidi" w:hAnsiTheme="majorBidi" w:cstheme="majorBidi"/>
          <w:color w:val="000000" w:themeColor="text1"/>
          <w:lang w:val="en-GB"/>
        </w:rPr>
        <w:t xml:space="preserve"> in the West Bank and Gaza</w:t>
      </w:r>
      <w:r w:rsidR="00A52788" w:rsidRPr="00100028">
        <w:rPr>
          <w:rFonts w:asciiTheme="majorBidi" w:hAnsiTheme="majorBidi" w:cstheme="majorBidi"/>
          <w:color w:val="000000" w:themeColor="text1"/>
          <w:lang w:val="en-GB"/>
        </w:rPr>
        <w:t xml:space="preserve"> has become akin to permanent residence. Such de facto</w:t>
      </w:r>
      <w:r w:rsidR="00A07021" w:rsidRPr="00100028">
        <w:rPr>
          <w:rFonts w:asciiTheme="majorBidi" w:hAnsiTheme="majorBidi" w:cstheme="majorBidi"/>
          <w:color w:val="000000" w:themeColor="text1"/>
          <w:lang w:val="en-GB"/>
        </w:rPr>
        <w:t xml:space="preserve"> citizenship</w:t>
      </w:r>
      <w:r w:rsidR="00A52788" w:rsidRPr="00100028">
        <w:rPr>
          <w:rFonts w:asciiTheme="majorBidi" w:hAnsiTheme="majorBidi" w:cstheme="majorBidi"/>
          <w:color w:val="000000" w:themeColor="text1"/>
          <w:lang w:val="en-GB"/>
        </w:rPr>
        <w:t xml:space="preserve"> can be proved and claimed by </w:t>
      </w:r>
      <w:r w:rsidR="00F25DC1" w:rsidRPr="00100028">
        <w:rPr>
          <w:rFonts w:asciiTheme="majorBidi" w:hAnsiTheme="majorBidi" w:cstheme="majorBidi"/>
          <w:color w:val="000000" w:themeColor="text1"/>
          <w:lang w:val="en-GB"/>
        </w:rPr>
        <w:t xml:space="preserve">the </w:t>
      </w:r>
      <w:r w:rsidR="00A52788" w:rsidRPr="00100028">
        <w:rPr>
          <w:rFonts w:asciiTheme="majorBidi" w:hAnsiTheme="majorBidi" w:cstheme="majorBidi"/>
          <w:color w:val="000000" w:themeColor="text1"/>
          <w:lang w:val="en-GB"/>
        </w:rPr>
        <w:t>means of two ke</w:t>
      </w:r>
      <w:r w:rsidR="00F25DC1" w:rsidRPr="00100028">
        <w:rPr>
          <w:rFonts w:asciiTheme="majorBidi" w:hAnsiTheme="majorBidi" w:cstheme="majorBidi"/>
          <w:color w:val="000000" w:themeColor="text1"/>
          <w:lang w:val="en-GB"/>
        </w:rPr>
        <w:t>y documents: locally through identity cards and abroad via</w:t>
      </w:r>
      <w:r w:rsidR="00A52788" w:rsidRPr="00100028">
        <w:rPr>
          <w:rFonts w:asciiTheme="majorBidi" w:hAnsiTheme="majorBidi" w:cstheme="majorBidi"/>
          <w:color w:val="000000" w:themeColor="text1"/>
          <w:lang w:val="en-GB"/>
        </w:rPr>
        <w:t xml:space="preserve"> Palestinian passports. The current situation sh</w:t>
      </w:r>
      <w:r w:rsidR="00F25DC1" w:rsidRPr="00100028">
        <w:rPr>
          <w:rFonts w:asciiTheme="majorBidi" w:hAnsiTheme="majorBidi" w:cstheme="majorBidi"/>
          <w:color w:val="000000" w:themeColor="text1"/>
          <w:lang w:val="en-GB"/>
        </w:rPr>
        <w:t>ows that</w:t>
      </w:r>
      <w:r w:rsidR="00A07021" w:rsidRPr="00100028">
        <w:rPr>
          <w:rFonts w:asciiTheme="majorBidi" w:hAnsiTheme="majorBidi" w:cstheme="majorBidi"/>
          <w:color w:val="000000" w:themeColor="text1"/>
          <w:lang w:val="en-GB"/>
        </w:rPr>
        <w:t xml:space="preserve"> citizenship</w:t>
      </w:r>
      <w:r w:rsidR="00A52788" w:rsidRPr="00100028">
        <w:rPr>
          <w:rFonts w:asciiTheme="majorBidi" w:hAnsiTheme="majorBidi" w:cstheme="majorBidi"/>
          <w:color w:val="000000" w:themeColor="text1"/>
          <w:lang w:val="en-GB"/>
        </w:rPr>
        <w:t xml:space="preserve"> may be effectively acquired by a person born to a Palestinian citizen, who may be th</w:t>
      </w:r>
      <w:r w:rsidR="00F25DC1" w:rsidRPr="00100028">
        <w:rPr>
          <w:rFonts w:asciiTheme="majorBidi" w:hAnsiTheme="majorBidi" w:cstheme="majorBidi"/>
          <w:color w:val="000000" w:themeColor="text1"/>
          <w:lang w:val="en-GB"/>
        </w:rPr>
        <w:t>e father or mother or both</w:t>
      </w:r>
      <w:r w:rsidR="00A52788" w:rsidRPr="00100028">
        <w:rPr>
          <w:rFonts w:asciiTheme="majorBidi" w:hAnsiTheme="majorBidi" w:cstheme="majorBidi"/>
          <w:color w:val="000000" w:themeColor="text1"/>
          <w:lang w:val="en-GB"/>
        </w:rPr>
        <w:t xml:space="preserve">, </w:t>
      </w:r>
      <w:r w:rsidR="00A07021" w:rsidRPr="00100028">
        <w:rPr>
          <w:rFonts w:asciiTheme="majorBidi" w:hAnsiTheme="majorBidi" w:cstheme="majorBidi"/>
          <w:color w:val="000000" w:themeColor="text1"/>
          <w:lang w:val="en-GB"/>
        </w:rPr>
        <w:t>residing in the West Bank or Gaza</w:t>
      </w:r>
      <w:r w:rsidR="00A52788" w:rsidRPr="00100028">
        <w:rPr>
          <w:rFonts w:asciiTheme="majorBidi" w:hAnsiTheme="majorBidi" w:cstheme="majorBidi"/>
          <w:color w:val="000000" w:themeColor="text1"/>
          <w:lang w:val="en-GB"/>
        </w:rPr>
        <w:t>, regardless of the place of birth—</w:t>
      </w:r>
      <w:r w:rsidR="00F25DC1" w:rsidRPr="00100028">
        <w:rPr>
          <w:rFonts w:asciiTheme="majorBidi" w:hAnsiTheme="majorBidi" w:cstheme="majorBidi"/>
          <w:color w:val="000000" w:themeColor="text1"/>
          <w:lang w:val="en-GB"/>
        </w:rPr>
        <w:t xml:space="preserve"> </w:t>
      </w:r>
      <w:r w:rsidR="00A52788" w:rsidRPr="00100028">
        <w:rPr>
          <w:rFonts w:asciiTheme="majorBidi" w:hAnsiTheme="majorBidi" w:cstheme="majorBidi"/>
          <w:color w:val="000000" w:themeColor="text1"/>
          <w:lang w:val="en-GB"/>
        </w:rPr>
        <w:t>within the territory or ab</w:t>
      </w:r>
      <w:r w:rsidR="00A07021" w:rsidRPr="00100028">
        <w:rPr>
          <w:rFonts w:asciiTheme="majorBidi" w:hAnsiTheme="majorBidi" w:cstheme="majorBidi"/>
          <w:color w:val="000000" w:themeColor="text1"/>
          <w:lang w:val="en-GB"/>
        </w:rPr>
        <w:t>road. Citizenship</w:t>
      </w:r>
      <w:r w:rsidR="00A52788" w:rsidRPr="00100028">
        <w:rPr>
          <w:rFonts w:asciiTheme="majorBidi" w:hAnsiTheme="majorBidi" w:cstheme="majorBidi"/>
          <w:color w:val="000000" w:themeColor="text1"/>
          <w:lang w:val="en-GB"/>
        </w:rPr>
        <w:t xml:space="preserve"> may also be acquired by marriage based not on local law but on the formula of family reunification which may be granted or withheld by Israel. There is no clear rule relating to naturalization,</w:t>
      </w:r>
      <w:r w:rsidR="001325C8" w:rsidRPr="00100028">
        <w:rPr>
          <w:rStyle w:val="FootnoteReference"/>
          <w:rFonts w:asciiTheme="majorBidi" w:hAnsiTheme="majorBidi" w:cstheme="majorBidi"/>
          <w:color w:val="000000" w:themeColor="text1"/>
          <w:lang w:val="en-GB"/>
        </w:rPr>
        <w:footnoteReference w:id="114"/>
      </w:r>
      <w:r w:rsidR="00A52788" w:rsidRPr="00100028">
        <w:rPr>
          <w:rFonts w:asciiTheme="majorBidi" w:hAnsiTheme="majorBidi" w:cstheme="majorBidi"/>
          <w:color w:val="000000" w:themeColor="text1"/>
          <w:lang w:val="en-GB"/>
        </w:rPr>
        <w:t xml:space="preserve"> but one may view the cases enumerated above involving the granting of permanent r</w:t>
      </w:r>
      <w:r w:rsidR="00F25DC1" w:rsidRPr="00100028">
        <w:rPr>
          <w:rFonts w:asciiTheme="majorBidi" w:hAnsiTheme="majorBidi" w:cstheme="majorBidi"/>
          <w:color w:val="000000" w:themeColor="text1"/>
          <w:lang w:val="en-GB"/>
        </w:rPr>
        <w:t>esidence as cases somewhat similar</w:t>
      </w:r>
      <w:r w:rsidR="001325C8" w:rsidRPr="00100028">
        <w:rPr>
          <w:rFonts w:asciiTheme="majorBidi" w:hAnsiTheme="majorBidi" w:cstheme="majorBidi"/>
          <w:color w:val="000000" w:themeColor="text1"/>
          <w:lang w:val="en-GB"/>
        </w:rPr>
        <w:t xml:space="preserve"> to naturalization</w:t>
      </w:r>
      <w:r w:rsidR="00A52788" w:rsidRPr="00100028">
        <w:rPr>
          <w:rFonts w:asciiTheme="majorBidi" w:hAnsiTheme="majorBidi" w:cstheme="majorBidi"/>
          <w:color w:val="000000" w:themeColor="text1"/>
          <w:lang w:val="en-GB"/>
        </w:rPr>
        <w:t>. No rules ar</w:t>
      </w:r>
      <w:r w:rsidR="00A07021" w:rsidRPr="00100028">
        <w:rPr>
          <w:rFonts w:asciiTheme="majorBidi" w:hAnsiTheme="majorBidi" w:cstheme="majorBidi"/>
          <w:color w:val="000000" w:themeColor="text1"/>
          <w:lang w:val="en-GB"/>
        </w:rPr>
        <w:t>e in place regarding citizenship</w:t>
      </w:r>
      <w:r w:rsidR="00F25DC1" w:rsidRPr="00100028">
        <w:rPr>
          <w:rFonts w:asciiTheme="majorBidi" w:hAnsiTheme="majorBidi" w:cstheme="majorBidi"/>
          <w:color w:val="000000" w:themeColor="text1"/>
          <w:lang w:val="en-GB"/>
        </w:rPr>
        <w:t xml:space="preserve"> revocation.</w:t>
      </w:r>
      <w:r w:rsidR="001325C8" w:rsidRPr="00100028">
        <w:rPr>
          <w:rStyle w:val="FootnoteReference"/>
          <w:rFonts w:asciiTheme="majorBidi" w:hAnsiTheme="majorBidi" w:cstheme="majorBidi"/>
          <w:color w:val="000000" w:themeColor="text1"/>
          <w:lang w:val="en-GB"/>
        </w:rPr>
        <w:footnoteReference w:id="115"/>
      </w:r>
      <w:r w:rsidR="00F25DC1" w:rsidRPr="00100028">
        <w:rPr>
          <w:rFonts w:asciiTheme="majorBidi" w:hAnsiTheme="majorBidi" w:cstheme="majorBidi"/>
          <w:color w:val="000000" w:themeColor="text1"/>
          <w:lang w:val="en-GB"/>
        </w:rPr>
        <w:t xml:space="preserve"> Y</w:t>
      </w:r>
      <w:r w:rsidR="001325C8" w:rsidRPr="00100028">
        <w:rPr>
          <w:rFonts w:asciiTheme="majorBidi" w:hAnsiTheme="majorBidi" w:cstheme="majorBidi"/>
          <w:color w:val="000000" w:themeColor="text1"/>
          <w:lang w:val="en-GB"/>
        </w:rPr>
        <w:t>et</w:t>
      </w:r>
      <w:r w:rsidR="00A52788" w:rsidRPr="00100028">
        <w:rPr>
          <w:rFonts w:asciiTheme="majorBidi" w:hAnsiTheme="majorBidi" w:cstheme="majorBidi"/>
          <w:color w:val="000000" w:themeColor="text1"/>
          <w:lang w:val="en-GB"/>
        </w:rPr>
        <w:t xml:space="preserve"> </w:t>
      </w:r>
      <w:r w:rsidR="00A52788" w:rsidRPr="00100028">
        <w:rPr>
          <w:rFonts w:asciiTheme="majorBidi" w:hAnsiTheme="majorBidi" w:cstheme="majorBidi"/>
          <w:color w:val="000000" w:themeColor="text1"/>
          <w:lang w:val="en-GB"/>
        </w:rPr>
        <w:lastRenderedPageBreak/>
        <w:t xml:space="preserve">deportation of inhabitants or the denial of return to those who travel abroad </w:t>
      </w:r>
      <w:r w:rsidR="001325C8" w:rsidRPr="00100028">
        <w:rPr>
          <w:rFonts w:asciiTheme="majorBidi" w:hAnsiTheme="majorBidi" w:cstheme="majorBidi"/>
          <w:color w:val="000000" w:themeColor="text1"/>
          <w:lang w:val="en-GB"/>
        </w:rPr>
        <w:t xml:space="preserve">could be regarded </w:t>
      </w:r>
      <w:r w:rsidR="00A52788" w:rsidRPr="00100028">
        <w:rPr>
          <w:rFonts w:asciiTheme="majorBidi" w:hAnsiTheme="majorBidi" w:cstheme="majorBidi"/>
          <w:color w:val="000000" w:themeColor="text1"/>
          <w:lang w:val="en-GB"/>
        </w:rPr>
        <w:t xml:space="preserve">as a means of </w:t>
      </w:r>
      <w:r w:rsidR="00F25DC1" w:rsidRPr="00100028">
        <w:rPr>
          <w:rFonts w:asciiTheme="majorBidi" w:hAnsiTheme="majorBidi" w:cstheme="majorBidi"/>
          <w:color w:val="000000" w:themeColor="text1"/>
          <w:lang w:val="en-GB"/>
        </w:rPr>
        <w:t>denationalization</w:t>
      </w:r>
      <w:r w:rsidR="00A07021" w:rsidRPr="00100028">
        <w:rPr>
          <w:rFonts w:asciiTheme="majorBidi" w:hAnsiTheme="majorBidi" w:cstheme="majorBidi"/>
          <w:color w:val="000000" w:themeColor="text1"/>
          <w:lang w:val="en-GB"/>
        </w:rPr>
        <w:t>.</w:t>
      </w:r>
      <w:r w:rsidR="001325C8" w:rsidRPr="00100028">
        <w:rPr>
          <w:rStyle w:val="FootnoteReference"/>
          <w:rFonts w:asciiTheme="majorBidi" w:hAnsiTheme="majorBidi" w:cstheme="majorBidi"/>
          <w:color w:val="000000" w:themeColor="text1"/>
          <w:lang w:val="en-GB"/>
        </w:rPr>
        <w:footnoteReference w:id="116"/>
      </w:r>
      <w:r w:rsidR="001325C8" w:rsidRPr="00100028">
        <w:rPr>
          <w:rFonts w:asciiTheme="majorBidi" w:hAnsiTheme="majorBidi" w:cstheme="majorBidi"/>
          <w:color w:val="000000" w:themeColor="text1"/>
          <w:lang w:val="en-GB"/>
        </w:rPr>
        <w:t xml:space="preserve"> Citizenship legislation</w:t>
      </w:r>
      <w:r w:rsidR="00E46BFB" w:rsidRPr="00100028">
        <w:rPr>
          <w:rFonts w:asciiTheme="majorBidi" w:hAnsiTheme="majorBidi" w:cstheme="majorBidi"/>
          <w:color w:val="000000" w:themeColor="text1"/>
          <w:lang w:val="en-GB"/>
        </w:rPr>
        <w:t xml:space="preserve"> </w:t>
      </w:r>
      <w:r w:rsidR="001325C8" w:rsidRPr="00100028">
        <w:rPr>
          <w:rFonts w:asciiTheme="majorBidi" w:hAnsiTheme="majorBidi" w:cstheme="majorBidi"/>
          <w:color w:val="000000" w:themeColor="text1"/>
          <w:lang w:val="en-GB"/>
        </w:rPr>
        <w:t>i</w:t>
      </w:r>
      <w:r w:rsidR="00E46BFB" w:rsidRPr="00100028">
        <w:rPr>
          <w:rFonts w:asciiTheme="majorBidi" w:hAnsiTheme="majorBidi" w:cstheme="majorBidi"/>
          <w:color w:val="000000" w:themeColor="text1"/>
          <w:lang w:val="en-GB"/>
        </w:rPr>
        <w:t>ssued</w:t>
      </w:r>
      <w:r w:rsidR="001325C8" w:rsidRPr="00100028">
        <w:rPr>
          <w:rFonts w:asciiTheme="majorBidi" w:hAnsiTheme="majorBidi" w:cstheme="majorBidi"/>
          <w:color w:val="000000" w:themeColor="text1"/>
          <w:lang w:val="en-GB"/>
        </w:rPr>
        <w:t xml:space="preserve"> in Palestine in </w:t>
      </w:r>
      <w:r w:rsidR="00F25DC1" w:rsidRPr="00100028">
        <w:rPr>
          <w:rFonts w:asciiTheme="majorBidi" w:hAnsiTheme="majorBidi" w:cstheme="majorBidi"/>
          <w:color w:val="000000" w:themeColor="text1"/>
          <w:lang w:val="en-GB"/>
        </w:rPr>
        <w:t>the past, particularly the 1925</w:t>
      </w:r>
      <w:r w:rsidR="00E46BFB" w:rsidRPr="00100028">
        <w:rPr>
          <w:rFonts w:asciiTheme="majorBidi" w:hAnsiTheme="majorBidi" w:cstheme="majorBidi"/>
          <w:color w:val="000000" w:themeColor="text1"/>
          <w:lang w:val="en-GB"/>
        </w:rPr>
        <w:t xml:space="preserve"> </w:t>
      </w:r>
      <w:r w:rsidR="001325C8" w:rsidRPr="00100028">
        <w:rPr>
          <w:rFonts w:asciiTheme="majorBidi" w:hAnsiTheme="majorBidi" w:cstheme="majorBidi"/>
          <w:color w:val="000000" w:themeColor="text1"/>
          <w:lang w:val="en-GB"/>
        </w:rPr>
        <w:t>Palestinian Citizenship Order and the 195</w:t>
      </w:r>
      <w:r w:rsidR="006771A2" w:rsidRPr="00100028">
        <w:rPr>
          <w:rFonts w:asciiTheme="majorBidi" w:hAnsiTheme="majorBidi" w:cstheme="majorBidi"/>
          <w:color w:val="000000" w:themeColor="text1"/>
          <w:lang w:val="en-GB"/>
        </w:rPr>
        <w:t>4</w:t>
      </w:r>
      <w:r w:rsidR="001325C8" w:rsidRPr="00100028">
        <w:rPr>
          <w:rFonts w:asciiTheme="majorBidi" w:hAnsiTheme="majorBidi" w:cstheme="majorBidi"/>
          <w:color w:val="000000" w:themeColor="text1"/>
          <w:lang w:val="en-GB"/>
        </w:rPr>
        <w:t xml:space="preserve"> Jordanian Citizenship Law, </w:t>
      </w:r>
      <w:r w:rsidR="00E46BFB" w:rsidRPr="00100028">
        <w:rPr>
          <w:rFonts w:asciiTheme="majorBidi" w:hAnsiTheme="majorBidi" w:cstheme="majorBidi"/>
          <w:color w:val="000000" w:themeColor="text1"/>
          <w:lang w:val="en-GB"/>
        </w:rPr>
        <w:t>notwithstanding that they were never directly repealed,</w:t>
      </w:r>
      <w:r w:rsidR="001325C8" w:rsidRPr="00100028">
        <w:rPr>
          <w:rFonts w:asciiTheme="majorBidi" w:hAnsiTheme="majorBidi" w:cstheme="majorBidi"/>
          <w:color w:val="000000" w:themeColor="text1"/>
          <w:lang w:val="en-GB"/>
        </w:rPr>
        <w:t xml:space="preserve"> ha</w:t>
      </w:r>
      <w:r w:rsidR="00E46BFB" w:rsidRPr="00100028">
        <w:rPr>
          <w:rFonts w:asciiTheme="majorBidi" w:hAnsiTheme="majorBidi" w:cstheme="majorBidi"/>
          <w:color w:val="000000" w:themeColor="text1"/>
          <w:lang w:val="en-GB"/>
        </w:rPr>
        <w:t>ve been</w:t>
      </w:r>
      <w:r w:rsidR="001325C8" w:rsidRPr="00100028">
        <w:rPr>
          <w:rFonts w:asciiTheme="majorBidi" w:hAnsiTheme="majorBidi" w:cstheme="majorBidi"/>
          <w:color w:val="000000" w:themeColor="text1"/>
          <w:lang w:val="en-GB"/>
        </w:rPr>
        <w:t xml:space="preserve"> frozen</w:t>
      </w:r>
      <w:r w:rsidR="00E46BFB" w:rsidRPr="00100028">
        <w:rPr>
          <w:rFonts w:asciiTheme="majorBidi" w:hAnsiTheme="majorBidi" w:cstheme="majorBidi"/>
          <w:color w:val="000000" w:themeColor="text1"/>
          <w:lang w:val="en-GB"/>
        </w:rPr>
        <w:t xml:space="preserve"> since 1967 as a result of the series Isr</w:t>
      </w:r>
      <w:r w:rsidR="00F25DC1" w:rsidRPr="00100028">
        <w:rPr>
          <w:rFonts w:asciiTheme="majorBidi" w:hAnsiTheme="majorBidi" w:cstheme="majorBidi"/>
          <w:color w:val="000000" w:themeColor="text1"/>
          <w:lang w:val="en-GB"/>
        </w:rPr>
        <w:t>aeli polices</w:t>
      </w:r>
      <w:r w:rsidR="00E46BFB" w:rsidRPr="00100028">
        <w:rPr>
          <w:rFonts w:asciiTheme="majorBidi" w:hAnsiTheme="majorBidi" w:cstheme="majorBidi"/>
          <w:color w:val="000000" w:themeColor="text1"/>
          <w:lang w:val="en-GB"/>
        </w:rPr>
        <w:t xml:space="preserve"> highlighted above.</w:t>
      </w:r>
    </w:p>
    <w:p w:rsidR="00A07021" w:rsidRPr="00100028" w:rsidRDefault="00A07021" w:rsidP="00100028">
      <w:pPr>
        <w:pStyle w:val="NormalWeb"/>
        <w:spacing w:before="0" w:beforeAutospacing="0" w:after="0" w:afterAutospacing="0"/>
        <w:jc w:val="both"/>
        <w:rPr>
          <w:rFonts w:asciiTheme="majorBidi" w:hAnsiTheme="majorBidi" w:cstheme="majorBidi"/>
          <w:color w:val="000000" w:themeColor="text1"/>
          <w:lang w:val="en-GB"/>
        </w:rPr>
      </w:pPr>
    </w:p>
    <w:p w:rsidR="00A52788" w:rsidRPr="00100028" w:rsidRDefault="00A52788" w:rsidP="00100028">
      <w:pPr>
        <w:pStyle w:val="NormalWeb"/>
        <w:spacing w:before="0" w:beforeAutospacing="0" w:after="0" w:afterAutospacing="0"/>
        <w:jc w:val="both"/>
        <w:rPr>
          <w:rFonts w:asciiTheme="majorBidi" w:hAnsiTheme="majorBidi" w:cstheme="majorBidi"/>
          <w:color w:val="000000" w:themeColor="text1"/>
          <w:lang w:val="en-GB"/>
        </w:rPr>
      </w:pPr>
      <w:r w:rsidRPr="00100028">
        <w:rPr>
          <w:rFonts w:asciiTheme="majorBidi" w:hAnsiTheme="majorBidi" w:cstheme="majorBidi"/>
          <w:color w:val="000000" w:themeColor="text1"/>
          <w:lang w:val="en-GB"/>
        </w:rPr>
        <w:t>Neither Isra</w:t>
      </w:r>
      <w:r w:rsidR="00A07021" w:rsidRPr="00100028">
        <w:rPr>
          <w:rFonts w:asciiTheme="majorBidi" w:hAnsiTheme="majorBidi" w:cstheme="majorBidi"/>
          <w:color w:val="000000" w:themeColor="text1"/>
          <w:lang w:val="en-GB"/>
        </w:rPr>
        <w:t>el nor the PA oppose</w:t>
      </w:r>
      <w:r w:rsidRPr="00100028">
        <w:rPr>
          <w:rFonts w:asciiTheme="majorBidi" w:hAnsiTheme="majorBidi" w:cstheme="majorBidi"/>
          <w:color w:val="000000" w:themeColor="text1"/>
          <w:lang w:val="en-GB"/>
        </w:rPr>
        <w:t xml:space="preserve"> the acquisit</w:t>
      </w:r>
      <w:r w:rsidR="00A07021" w:rsidRPr="00100028">
        <w:rPr>
          <w:rFonts w:asciiTheme="majorBidi" w:hAnsiTheme="majorBidi" w:cstheme="majorBidi"/>
          <w:color w:val="000000" w:themeColor="text1"/>
          <w:lang w:val="en-GB"/>
        </w:rPr>
        <w:t>ion of one or more citizenship by permanent residents</w:t>
      </w:r>
      <w:r w:rsidRPr="00100028">
        <w:rPr>
          <w:rFonts w:asciiTheme="majorBidi" w:hAnsiTheme="majorBidi" w:cstheme="majorBidi"/>
          <w:color w:val="000000" w:themeColor="text1"/>
          <w:lang w:val="en-GB"/>
        </w:rPr>
        <w:t>, many of who</w:t>
      </w:r>
      <w:r w:rsidR="00A07021" w:rsidRPr="00100028">
        <w:rPr>
          <w:rFonts w:asciiTheme="majorBidi" w:hAnsiTheme="majorBidi" w:cstheme="majorBidi"/>
          <w:color w:val="000000" w:themeColor="text1"/>
          <w:lang w:val="en-GB"/>
        </w:rPr>
        <w:t>m hold other citizenship</w:t>
      </w:r>
      <w:r w:rsidRPr="00100028">
        <w:rPr>
          <w:rFonts w:asciiTheme="majorBidi" w:hAnsiTheme="majorBidi" w:cstheme="majorBidi"/>
          <w:color w:val="000000" w:themeColor="text1"/>
          <w:lang w:val="en-GB"/>
        </w:rPr>
        <w:t>s in addition to their Palestinian passports and resi</w:t>
      </w:r>
      <w:r w:rsidR="008D24FF" w:rsidRPr="00100028">
        <w:rPr>
          <w:rFonts w:asciiTheme="majorBidi" w:hAnsiTheme="majorBidi" w:cstheme="majorBidi"/>
          <w:color w:val="000000" w:themeColor="text1"/>
          <w:lang w:val="en-GB"/>
        </w:rPr>
        <w:t>de in the West Bank or Gaza</w:t>
      </w:r>
      <w:r w:rsidR="00A07021" w:rsidRPr="00100028">
        <w:rPr>
          <w:rFonts w:asciiTheme="majorBidi" w:hAnsiTheme="majorBidi" w:cstheme="majorBidi"/>
          <w:color w:val="000000" w:themeColor="text1"/>
          <w:lang w:val="en-GB"/>
        </w:rPr>
        <w:t>. I</w:t>
      </w:r>
      <w:r w:rsidRPr="00100028">
        <w:rPr>
          <w:rFonts w:asciiTheme="majorBidi" w:hAnsiTheme="majorBidi" w:cstheme="majorBidi"/>
          <w:color w:val="000000" w:themeColor="text1"/>
          <w:lang w:val="en-GB"/>
        </w:rPr>
        <w:t xml:space="preserve">t may be concluded </w:t>
      </w:r>
      <w:r w:rsidR="008A5D41" w:rsidRPr="00100028">
        <w:rPr>
          <w:rFonts w:asciiTheme="majorBidi" w:hAnsiTheme="majorBidi" w:cstheme="majorBidi"/>
          <w:color w:val="000000" w:themeColor="text1"/>
          <w:lang w:val="en-GB"/>
        </w:rPr>
        <w:t xml:space="preserve">form this fact </w:t>
      </w:r>
      <w:r w:rsidRPr="00100028">
        <w:rPr>
          <w:rFonts w:asciiTheme="majorBidi" w:hAnsiTheme="majorBidi" w:cstheme="majorBidi"/>
          <w:color w:val="000000" w:themeColor="text1"/>
          <w:lang w:val="en-GB"/>
        </w:rPr>
        <w:t>t</w:t>
      </w:r>
      <w:r w:rsidR="00A07021" w:rsidRPr="00100028">
        <w:rPr>
          <w:rFonts w:asciiTheme="majorBidi" w:hAnsiTheme="majorBidi" w:cstheme="majorBidi"/>
          <w:color w:val="000000" w:themeColor="text1"/>
          <w:lang w:val="en-GB"/>
        </w:rPr>
        <w:t>hat dual or multiple citizenship</w:t>
      </w:r>
      <w:r w:rsidRPr="00100028">
        <w:rPr>
          <w:rFonts w:asciiTheme="majorBidi" w:hAnsiTheme="majorBidi" w:cstheme="majorBidi"/>
          <w:color w:val="000000" w:themeColor="text1"/>
          <w:lang w:val="en-GB"/>
        </w:rPr>
        <w:t xml:space="preserve"> is de facto permissible for West Bankers and Gazans.</w:t>
      </w:r>
      <w:r w:rsidR="006771A2" w:rsidRPr="00100028">
        <w:rPr>
          <w:rStyle w:val="FootnoteReference"/>
          <w:rFonts w:asciiTheme="majorBidi" w:hAnsiTheme="majorBidi" w:cstheme="majorBidi"/>
          <w:color w:val="000000" w:themeColor="text1"/>
          <w:lang w:val="en-GB"/>
        </w:rPr>
        <w:footnoteReference w:id="117"/>
      </w:r>
      <w:r w:rsidR="001E70CB" w:rsidRPr="00100028">
        <w:rPr>
          <w:rFonts w:asciiTheme="majorBidi" w:hAnsiTheme="majorBidi" w:cstheme="majorBidi"/>
          <w:color w:val="000000" w:themeColor="text1"/>
          <w:lang w:val="en-GB"/>
        </w:rPr>
        <w:t xml:space="preserve"> Such dual citizens</w:t>
      </w:r>
      <w:r w:rsidRPr="00100028">
        <w:rPr>
          <w:rFonts w:asciiTheme="majorBidi" w:hAnsiTheme="majorBidi" w:cstheme="majorBidi"/>
          <w:color w:val="000000" w:themeColor="text1"/>
          <w:lang w:val="en-GB"/>
        </w:rPr>
        <w:t xml:space="preserve"> (e.g. French-West Banker, American-Gazan) are treated as Palestini</w:t>
      </w:r>
      <w:r w:rsidR="00A07021" w:rsidRPr="00100028">
        <w:rPr>
          <w:rFonts w:asciiTheme="majorBidi" w:hAnsiTheme="majorBidi" w:cstheme="majorBidi"/>
          <w:color w:val="000000" w:themeColor="text1"/>
          <w:lang w:val="en-GB"/>
        </w:rPr>
        <w:t>ans by the PA</w:t>
      </w:r>
      <w:r w:rsidRPr="00100028">
        <w:rPr>
          <w:rFonts w:asciiTheme="majorBidi" w:hAnsiTheme="majorBidi" w:cstheme="majorBidi"/>
          <w:color w:val="000000" w:themeColor="text1"/>
          <w:lang w:val="en-GB"/>
        </w:rPr>
        <w:t>, not as foreigners—</w:t>
      </w:r>
      <w:r w:rsidR="008A5D41" w:rsidRPr="00100028">
        <w:rPr>
          <w:rFonts w:asciiTheme="majorBidi" w:hAnsiTheme="majorBidi" w:cstheme="majorBidi"/>
          <w:color w:val="000000" w:themeColor="text1"/>
          <w:lang w:val="en-GB"/>
        </w:rPr>
        <w:t xml:space="preserve"> for instance in order for one to</w:t>
      </w:r>
      <w:r w:rsidRPr="00100028">
        <w:rPr>
          <w:rFonts w:asciiTheme="majorBidi" w:hAnsiTheme="majorBidi" w:cstheme="majorBidi"/>
          <w:color w:val="000000" w:themeColor="text1"/>
          <w:lang w:val="en-GB"/>
        </w:rPr>
        <w:t xml:space="preserve"> participation in elections, </w:t>
      </w:r>
      <w:r w:rsidR="008A5D41" w:rsidRPr="00100028">
        <w:rPr>
          <w:rFonts w:asciiTheme="majorBidi" w:hAnsiTheme="majorBidi" w:cstheme="majorBidi"/>
          <w:color w:val="000000" w:themeColor="text1"/>
          <w:lang w:val="en-GB"/>
        </w:rPr>
        <w:t>to own</w:t>
      </w:r>
      <w:r w:rsidRPr="00100028">
        <w:rPr>
          <w:rFonts w:asciiTheme="majorBidi" w:hAnsiTheme="majorBidi" w:cstheme="majorBidi"/>
          <w:color w:val="000000" w:themeColor="text1"/>
          <w:lang w:val="en-GB"/>
        </w:rPr>
        <w:t xml:space="preserve"> immovable property, practising of professions</w:t>
      </w:r>
      <w:r w:rsidR="00A07021" w:rsidRPr="00100028">
        <w:rPr>
          <w:rFonts w:asciiTheme="majorBidi" w:hAnsiTheme="majorBidi" w:cstheme="majorBidi"/>
          <w:color w:val="000000" w:themeColor="text1"/>
          <w:lang w:val="en-GB"/>
        </w:rPr>
        <w:t>, and holding public office.</w:t>
      </w:r>
      <w:r w:rsidRPr="00100028">
        <w:rPr>
          <w:rFonts w:asciiTheme="majorBidi" w:hAnsiTheme="majorBidi" w:cstheme="majorBidi"/>
          <w:color w:val="000000" w:themeColor="text1"/>
          <w:lang w:val="en-GB"/>
        </w:rPr>
        <w:t xml:space="preserve"> Israel </w:t>
      </w:r>
      <w:r w:rsidR="00A07021" w:rsidRPr="00100028">
        <w:rPr>
          <w:rFonts w:asciiTheme="majorBidi" w:hAnsiTheme="majorBidi" w:cstheme="majorBidi"/>
          <w:color w:val="000000" w:themeColor="text1"/>
          <w:lang w:val="en-GB"/>
        </w:rPr>
        <w:t xml:space="preserve">similarly </w:t>
      </w:r>
      <w:r w:rsidR="008D24FF" w:rsidRPr="00100028">
        <w:rPr>
          <w:rFonts w:asciiTheme="majorBidi" w:hAnsiTheme="majorBidi" w:cstheme="majorBidi"/>
          <w:color w:val="000000" w:themeColor="text1"/>
          <w:lang w:val="en-GB"/>
        </w:rPr>
        <w:t>considers Palestine</w:t>
      </w:r>
      <w:r w:rsidR="008D24FF" w:rsidRPr="00100028">
        <w:rPr>
          <w:rFonts w:asciiTheme="majorBidi" w:hAnsiTheme="majorBidi" w:cstheme="majorBidi"/>
          <w:lang w:val="en-GB"/>
        </w:rPr>
        <w:t>’</w:t>
      </w:r>
      <w:r w:rsidR="008D24FF" w:rsidRPr="00100028">
        <w:rPr>
          <w:rFonts w:asciiTheme="majorBidi" w:hAnsiTheme="majorBidi" w:cstheme="majorBidi"/>
          <w:color w:val="000000" w:themeColor="text1"/>
          <w:lang w:val="en-GB"/>
        </w:rPr>
        <w:t>s</w:t>
      </w:r>
      <w:r w:rsidRPr="00100028">
        <w:rPr>
          <w:rFonts w:asciiTheme="majorBidi" w:hAnsiTheme="majorBidi" w:cstheme="majorBidi"/>
          <w:color w:val="000000" w:themeColor="text1"/>
          <w:lang w:val="en-GB"/>
        </w:rPr>
        <w:t xml:space="preserve"> inhabitants who hold foreign passports to be local Palestinians; such persons canno</w:t>
      </w:r>
      <w:r w:rsidR="006771A2" w:rsidRPr="00100028">
        <w:rPr>
          <w:rFonts w:asciiTheme="majorBidi" w:hAnsiTheme="majorBidi" w:cstheme="majorBidi"/>
          <w:color w:val="000000" w:themeColor="text1"/>
          <w:lang w:val="en-GB"/>
        </w:rPr>
        <w:t>t use their foreign passports in relation to</w:t>
      </w:r>
      <w:r w:rsidRPr="00100028">
        <w:rPr>
          <w:rFonts w:asciiTheme="majorBidi" w:hAnsiTheme="majorBidi" w:cstheme="majorBidi"/>
          <w:color w:val="000000" w:themeColor="text1"/>
          <w:lang w:val="en-GB"/>
        </w:rPr>
        <w:t xml:space="preserve"> Israel</w:t>
      </w:r>
      <w:r w:rsidR="006771A2" w:rsidRPr="00100028">
        <w:rPr>
          <w:rFonts w:asciiTheme="majorBidi" w:hAnsiTheme="majorBidi" w:cstheme="majorBidi"/>
          <w:color w:val="000000" w:themeColor="text1"/>
          <w:lang w:val="en-GB"/>
        </w:rPr>
        <w:t>, either to enter the West Bank, Gaza, or Israel territory</w:t>
      </w:r>
      <w:r w:rsidRPr="00100028">
        <w:rPr>
          <w:rFonts w:asciiTheme="majorBidi" w:hAnsiTheme="majorBidi" w:cstheme="majorBidi"/>
          <w:color w:val="000000" w:themeColor="text1"/>
          <w:lang w:val="en-GB"/>
        </w:rPr>
        <w:t>.</w:t>
      </w:r>
      <w:r w:rsidR="005A293F" w:rsidRPr="00100028">
        <w:rPr>
          <w:rFonts w:asciiTheme="majorBidi" w:hAnsiTheme="majorBidi" w:cstheme="majorBidi"/>
          <w:color w:val="000000" w:themeColor="text1"/>
          <w:lang w:val="en-GB"/>
        </w:rPr>
        <w:t xml:space="preserve"> </w:t>
      </w:r>
      <w:r w:rsidR="008A5D41" w:rsidRPr="00100028">
        <w:rPr>
          <w:rFonts w:asciiTheme="majorBidi" w:hAnsiTheme="majorBidi" w:cstheme="majorBidi"/>
          <w:color w:val="000000" w:themeColor="text1"/>
          <w:lang w:val="en-GB"/>
        </w:rPr>
        <w:t>D</w:t>
      </w:r>
      <w:r w:rsidR="005A293F" w:rsidRPr="00100028">
        <w:rPr>
          <w:rFonts w:asciiTheme="majorBidi" w:hAnsiTheme="majorBidi" w:cstheme="majorBidi"/>
          <w:color w:val="000000" w:themeColor="text1"/>
          <w:lang w:val="en-GB"/>
        </w:rPr>
        <w:t xml:space="preserve">ual citizenship goes in line with the modern </w:t>
      </w:r>
      <w:r w:rsidR="0077276E" w:rsidRPr="00100028">
        <w:rPr>
          <w:rFonts w:asciiTheme="majorBidi" w:hAnsiTheme="majorBidi" w:cstheme="majorBidi"/>
          <w:color w:val="000000" w:themeColor="text1"/>
          <w:lang w:val="en-GB"/>
        </w:rPr>
        <w:t>trends</w:t>
      </w:r>
      <w:r w:rsidR="005A293F" w:rsidRPr="00100028">
        <w:rPr>
          <w:rFonts w:asciiTheme="majorBidi" w:hAnsiTheme="majorBidi" w:cstheme="majorBidi"/>
          <w:color w:val="000000" w:themeColor="text1"/>
          <w:lang w:val="en-GB"/>
        </w:rPr>
        <w:t xml:space="preserve"> that consider hav</w:t>
      </w:r>
      <w:r w:rsidR="0077276E" w:rsidRPr="00100028">
        <w:rPr>
          <w:rFonts w:asciiTheme="majorBidi" w:hAnsiTheme="majorBidi" w:cstheme="majorBidi"/>
          <w:color w:val="000000" w:themeColor="text1"/>
          <w:lang w:val="en-GB"/>
        </w:rPr>
        <w:t>ing</w:t>
      </w:r>
      <w:r w:rsidR="008A5D41" w:rsidRPr="00100028">
        <w:rPr>
          <w:rFonts w:asciiTheme="majorBidi" w:hAnsiTheme="majorBidi" w:cstheme="majorBidi"/>
          <w:color w:val="000000" w:themeColor="text1"/>
          <w:lang w:val="en-GB"/>
        </w:rPr>
        <w:t xml:space="preserve"> two or more citizenships as a human right,</w:t>
      </w:r>
      <w:r w:rsidR="005A293F" w:rsidRPr="00100028">
        <w:rPr>
          <w:rStyle w:val="FootnoteReference"/>
          <w:rFonts w:asciiTheme="majorBidi" w:hAnsiTheme="majorBidi" w:cstheme="majorBidi"/>
          <w:color w:val="000000" w:themeColor="text1"/>
          <w:lang w:val="en-GB"/>
        </w:rPr>
        <w:footnoteReference w:id="118"/>
      </w:r>
      <w:r w:rsidR="008A5D41" w:rsidRPr="00100028">
        <w:rPr>
          <w:rFonts w:asciiTheme="majorBidi" w:hAnsiTheme="majorBidi" w:cstheme="majorBidi"/>
          <w:color w:val="000000" w:themeColor="text1"/>
          <w:lang w:val="en-GB"/>
        </w:rPr>
        <w:t xml:space="preserve"> which ought</w:t>
      </w:r>
      <w:r w:rsidR="005A293F" w:rsidRPr="00100028">
        <w:rPr>
          <w:rFonts w:asciiTheme="majorBidi" w:hAnsiTheme="majorBidi" w:cstheme="majorBidi"/>
          <w:color w:val="000000" w:themeColor="text1"/>
          <w:lang w:val="en-GB"/>
        </w:rPr>
        <w:t xml:space="preserve"> </w:t>
      </w:r>
      <w:r w:rsidR="008A5D41" w:rsidRPr="00100028">
        <w:rPr>
          <w:rFonts w:asciiTheme="majorBidi" w:hAnsiTheme="majorBidi" w:cstheme="majorBidi"/>
          <w:color w:val="000000" w:themeColor="text1"/>
          <w:lang w:val="en-GB"/>
        </w:rPr>
        <w:t xml:space="preserve">to </w:t>
      </w:r>
      <w:r w:rsidR="005A293F" w:rsidRPr="00100028">
        <w:rPr>
          <w:rFonts w:asciiTheme="majorBidi" w:hAnsiTheme="majorBidi" w:cstheme="majorBidi"/>
          <w:color w:val="000000" w:themeColor="text1"/>
          <w:lang w:val="en-GB"/>
        </w:rPr>
        <w:t xml:space="preserve">be </w:t>
      </w:r>
      <w:r w:rsidR="0077276E" w:rsidRPr="00100028">
        <w:rPr>
          <w:rFonts w:asciiTheme="majorBidi" w:hAnsiTheme="majorBidi" w:cstheme="majorBidi"/>
          <w:color w:val="000000" w:themeColor="text1"/>
          <w:lang w:val="en-GB"/>
        </w:rPr>
        <w:t>the case</w:t>
      </w:r>
      <w:r w:rsidR="005A293F" w:rsidRPr="00100028">
        <w:rPr>
          <w:rFonts w:asciiTheme="majorBidi" w:hAnsiTheme="majorBidi" w:cstheme="majorBidi"/>
          <w:color w:val="000000" w:themeColor="text1"/>
          <w:lang w:val="en-GB"/>
        </w:rPr>
        <w:t xml:space="preserve"> in the future </w:t>
      </w:r>
      <w:r w:rsidR="008A5D41" w:rsidRPr="00100028">
        <w:rPr>
          <w:rFonts w:asciiTheme="majorBidi" w:hAnsiTheme="majorBidi" w:cstheme="majorBidi"/>
          <w:color w:val="000000" w:themeColor="text1"/>
          <w:lang w:val="en-GB"/>
        </w:rPr>
        <w:t xml:space="preserve">citizenship </w:t>
      </w:r>
      <w:r w:rsidR="005A293F" w:rsidRPr="00100028">
        <w:rPr>
          <w:rFonts w:asciiTheme="majorBidi" w:hAnsiTheme="majorBidi" w:cstheme="majorBidi"/>
          <w:color w:val="000000" w:themeColor="text1"/>
          <w:lang w:val="en-GB"/>
        </w:rPr>
        <w:t>law of Palestine.</w:t>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In an attempt to pave the way for further regularization of the inhabit</w:t>
      </w:r>
      <w:r w:rsidR="009E620C" w:rsidRPr="00100028">
        <w:rPr>
          <w:rFonts w:asciiTheme="majorBidi" w:hAnsiTheme="majorBidi" w:cstheme="majorBidi"/>
          <w:sz w:val="24"/>
          <w:szCs w:val="24"/>
          <w:lang w:val="en-GB"/>
        </w:rPr>
        <w:t>ants</w:t>
      </w:r>
      <w:r w:rsidR="00F130C3" w:rsidRPr="00100028">
        <w:rPr>
          <w:rFonts w:asciiTheme="majorBidi" w:hAnsiTheme="majorBidi" w:cstheme="majorBidi"/>
          <w:sz w:val="24"/>
          <w:szCs w:val="24"/>
          <w:lang w:val="en-GB"/>
        </w:rPr>
        <w:t>’</w:t>
      </w:r>
      <w:r w:rsidR="009E620C" w:rsidRPr="00100028">
        <w:rPr>
          <w:rFonts w:asciiTheme="majorBidi" w:hAnsiTheme="majorBidi" w:cstheme="majorBidi"/>
          <w:sz w:val="24"/>
          <w:szCs w:val="24"/>
          <w:lang w:val="en-GB"/>
        </w:rPr>
        <w:t xml:space="preserve"> status, the PA drafted a citizenship</w:t>
      </w:r>
      <w:r w:rsidRPr="00100028">
        <w:rPr>
          <w:rFonts w:asciiTheme="majorBidi" w:hAnsiTheme="majorBidi" w:cstheme="majorBidi"/>
          <w:sz w:val="24"/>
          <w:szCs w:val="24"/>
          <w:lang w:val="en-GB"/>
        </w:rPr>
        <w:t xml:space="preserve"> law</w:t>
      </w:r>
      <w:r w:rsidR="006771A2" w:rsidRPr="00100028">
        <w:rPr>
          <w:rFonts w:asciiTheme="majorBidi" w:hAnsiTheme="majorBidi" w:cstheme="majorBidi"/>
          <w:sz w:val="24"/>
          <w:szCs w:val="24"/>
          <w:lang w:val="en-GB"/>
        </w:rPr>
        <w:t xml:space="preserve"> in 1995. The bill, prepared</w:t>
      </w:r>
      <w:r w:rsidRPr="00100028">
        <w:rPr>
          <w:rFonts w:asciiTheme="majorBidi" w:hAnsiTheme="majorBidi" w:cstheme="majorBidi"/>
          <w:sz w:val="24"/>
          <w:szCs w:val="24"/>
          <w:lang w:val="en-GB"/>
        </w:rPr>
        <w:t xml:space="preserve"> by the Ministry of the </w:t>
      </w:r>
      <w:r w:rsidR="006771A2" w:rsidRPr="00100028">
        <w:rPr>
          <w:rFonts w:asciiTheme="majorBidi" w:hAnsiTheme="majorBidi" w:cstheme="majorBidi"/>
          <w:sz w:val="24"/>
          <w:szCs w:val="24"/>
          <w:lang w:val="en-GB"/>
        </w:rPr>
        <w:t>Interior,</w:t>
      </w:r>
      <w:r w:rsidRPr="00100028">
        <w:rPr>
          <w:rFonts w:asciiTheme="majorBidi" w:hAnsiTheme="majorBidi" w:cstheme="majorBidi"/>
          <w:sz w:val="24"/>
          <w:szCs w:val="24"/>
          <w:lang w:val="en-GB"/>
        </w:rPr>
        <w:t xml:space="preserve"> took most of its provisions from the 1925 Palestinia</w:t>
      </w:r>
      <w:r w:rsidR="009E620C" w:rsidRPr="00100028">
        <w:rPr>
          <w:rFonts w:asciiTheme="majorBidi" w:hAnsiTheme="majorBidi" w:cstheme="majorBidi"/>
          <w:sz w:val="24"/>
          <w:szCs w:val="24"/>
          <w:lang w:val="en-GB"/>
        </w:rPr>
        <w:t>n Citizenship Order</w:t>
      </w:r>
      <w:r w:rsidRPr="00100028">
        <w:rPr>
          <w:rFonts w:asciiTheme="majorBidi" w:hAnsiTheme="majorBidi" w:cstheme="majorBidi"/>
          <w:sz w:val="24"/>
          <w:szCs w:val="24"/>
          <w:lang w:val="en-GB"/>
        </w:rPr>
        <w:t xml:space="preserve"> and the 1954 Jordan</w:t>
      </w:r>
      <w:r w:rsidR="009E620C" w:rsidRPr="00100028">
        <w:rPr>
          <w:rFonts w:asciiTheme="majorBidi" w:hAnsiTheme="majorBidi" w:cstheme="majorBidi"/>
          <w:sz w:val="24"/>
          <w:szCs w:val="24"/>
          <w:lang w:val="en-GB"/>
        </w:rPr>
        <w:t xml:space="preserve">ian </w:t>
      </w:r>
      <w:r w:rsidR="003B4898" w:rsidRPr="00100028">
        <w:rPr>
          <w:rFonts w:asciiTheme="majorBidi" w:hAnsiTheme="majorBidi" w:cstheme="majorBidi"/>
          <w:sz w:val="24"/>
          <w:szCs w:val="24"/>
          <w:lang w:val="en-GB"/>
        </w:rPr>
        <w:t>Citizenship</w:t>
      </w:r>
      <w:r w:rsidR="009E620C" w:rsidRPr="00100028">
        <w:rPr>
          <w:rFonts w:asciiTheme="majorBidi" w:hAnsiTheme="majorBidi" w:cstheme="majorBidi"/>
          <w:sz w:val="24"/>
          <w:szCs w:val="24"/>
          <w:lang w:val="en-GB"/>
        </w:rPr>
        <w:t xml:space="preserve"> Law</w:t>
      </w:r>
      <w:r w:rsidRPr="00100028">
        <w:rPr>
          <w:rFonts w:asciiTheme="majorBidi" w:hAnsiTheme="majorBidi" w:cstheme="majorBidi"/>
          <w:sz w:val="24"/>
          <w:szCs w:val="24"/>
          <w:lang w:val="en-GB"/>
        </w:rPr>
        <w:t>. In its twenty-five articles, the draft defined who is a Palestinian</w:t>
      </w:r>
      <w:r w:rsidR="009E620C" w:rsidRPr="00100028">
        <w:rPr>
          <w:rFonts w:asciiTheme="majorBidi" w:hAnsiTheme="majorBidi" w:cstheme="majorBidi"/>
          <w:sz w:val="24"/>
          <w:szCs w:val="24"/>
          <w:lang w:val="en-GB"/>
        </w:rPr>
        <w:t>, fixed the modes of citizenship</w:t>
      </w:r>
      <w:r w:rsidRPr="00100028">
        <w:rPr>
          <w:rFonts w:asciiTheme="majorBidi" w:hAnsiTheme="majorBidi" w:cstheme="majorBidi"/>
          <w:sz w:val="24"/>
          <w:szCs w:val="24"/>
          <w:lang w:val="en-GB"/>
        </w:rPr>
        <w:t xml:space="preserve"> acquisition, naturalization, revocation and repatriation, covered</w:t>
      </w:r>
      <w:r w:rsidR="009E620C" w:rsidRPr="00100028">
        <w:rPr>
          <w:rFonts w:asciiTheme="majorBidi" w:hAnsiTheme="majorBidi" w:cstheme="majorBidi"/>
          <w:sz w:val="24"/>
          <w:szCs w:val="24"/>
          <w:lang w:val="en-GB"/>
        </w:rPr>
        <w:t xml:space="preserve"> issues such as the citizenship</w:t>
      </w:r>
      <w:r w:rsidRPr="00100028">
        <w:rPr>
          <w:rFonts w:asciiTheme="majorBidi" w:hAnsiTheme="majorBidi" w:cstheme="majorBidi"/>
          <w:sz w:val="24"/>
          <w:szCs w:val="24"/>
          <w:lang w:val="en-GB"/>
        </w:rPr>
        <w:t xml:space="preserve"> of spouses and children, and contained other provisions that n</w:t>
      </w:r>
      <w:r w:rsidR="009E620C" w:rsidRPr="00100028">
        <w:rPr>
          <w:rFonts w:asciiTheme="majorBidi" w:hAnsiTheme="majorBidi" w:cstheme="majorBidi"/>
          <w:sz w:val="24"/>
          <w:szCs w:val="24"/>
          <w:lang w:val="en-GB"/>
        </w:rPr>
        <w:t>ormally exist in the citizenship legislation</w:t>
      </w:r>
      <w:r w:rsidRPr="00100028">
        <w:rPr>
          <w:rFonts w:asciiTheme="majorBidi" w:hAnsiTheme="majorBidi" w:cstheme="majorBidi"/>
          <w:sz w:val="24"/>
          <w:szCs w:val="24"/>
          <w:lang w:val="en-GB"/>
        </w:rPr>
        <w:t xml:space="preserve"> of independent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s.</w:t>
      </w:r>
      <w:r w:rsidR="000B75B3" w:rsidRPr="00100028">
        <w:rPr>
          <w:rStyle w:val="FootnoteReference"/>
          <w:rFonts w:asciiTheme="majorBidi" w:hAnsiTheme="majorBidi" w:cstheme="majorBidi"/>
          <w:sz w:val="24"/>
          <w:szCs w:val="24"/>
          <w:lang w:val="en-GB"/>
        </w:rPr>
        <w:footnoteReference w:id="119"/>
      </w:r>
      <w:r w:rsidRPr="00100028">
        <w:rPr>
          <w:rFonts w:asciiTheme="majorBidi" w:hAnsiTheme="majorBidi" w:cstheme="majorBidi"/>
          <w:sz w:val="24"/>
          <w:szCs w:val="24"/>
          <w:lang w:val="en-GB"/>
        </w:rPr>
        <w:t xml:space="preserve"> Despite the existence of the Palestinian Legislative Council since 1996 and its adoption </w:t>
      </w:r>
      <w:r w:rsidR="00EF1222" w:rsidRPr="00100028">
        <w:rPr>
          <w:rFonts w:asciiTheme="majorBidi" w:hAnsiTheme="majorBidi" w:cstheme="majorBidi"/>
          <w:sz w:val="24"/>
          <w:szCs w:val="24"/>
          <w:lang w:val="en-GB"/>
        </w:rPr>
        <w:t>over a hundred</w:t>
      </w:r>
      <w:r w:rsidRPr="00100028">
        <w:rPr>
          <w:rFonts w:asciiTheme="majorBidi" w:hAnsiTheme="majorBidi" w:cstheme="majorBidi"/>
          <w:sz w:val="24"/>
          <w:szCs w:val="24"/>
          <w:lang w:val="en-GB"/>
        </w:rPr>
        <w:t xml:space="preserve"> laws</w:t>
      </w:r>
      <w:r w:rsidR="009E620C" w:rsidRPr="00100028">
        <w:rPr>
          <w:rFonts w:asciiTheme="majorBidi" w:hAnsiTheme="majorBidi" w:cstheme="majorBidi"/>
          <w:sz w:val="24"/>
          <w:szCs w:val="24"/>
          <w:lang w:val="en-GB"/>
        </w:rPr>
        <w:t>,</w:t>
      </w:r>
      <w:r w:rsidR="00EF1222" w:rsidRPr="00100028">
        <w:rPr>
          <w:rStyle w:val="FootnoteReference"/>
          <w:rFonts w:asciiTheme="majorBidi" w:hAnsiTheme="majorBidi" w:cstheme="majorBidi"/>
          <w:sz w:val="24"/>
          <w:szCs w:val="24"/>
          <w:lang w:val="en-GB"/>
        </w:rPr>
        <w:footnoteReference w:id="120"/>
      </w:r>
      <w:r w:rsidR="009E620C" w:rsidRPr="00100028">
        <w:rPr>
          <w:rFonts w:asciiTheme="majorBidi" w:hAnsiTheme="majorBidi" w:cstheme="majorBidi"/>
          <w:sz w:val="24"/>
          <w:szCs w:val="24"/>
          <w:lang w:val="en-GB"/>
        </w:rPr>
        <w:t xml:space="preserve"> the citizenship</w:t>
      </w:r>
      <w:r w:rsidRPr="00100028">
        <w:rPr>
          <w:rFonts w:asciiTheme="majorBidi" w:hAnsiTheme="majorBidi" w:cstheme="majorBidi"/>
          <w:sz w:val="24"/>
          <w:szCs w:val="24"/>
          <w:lang w:val="en-GB"/>
        </w:rPr>
        <w:t xml:space="preserve"> bill has not been the s</w:t>
      </w:r>
      <w:r w:rsidR="00EF1222" w:rsidRPr="00100028">
        <w:rPr>
          <w:rFonts w:asciiTheme="majorBidi" w:hAnsiTheme="majorBidi" w:cstheme="majorBidi"/>
          <w:sz w:val="24"/>
          <w:szCs w:val="24"/>
          <w:lang w:val="en-GB"/>
        </w:rPr>
        <w:t>ubject of</w:t>
      </w:r>
      <w:r w:rsidRPr="00100028">
        <w:rPr>
          <w:rFonts w:asciiTheme="majorBidi" w:hAnsiTheme="majorBidi" w:cstheme="majorBidi"/>
          <w:sz w:val="24"/>
          <w:szCs w:val="24"/>
          <w:lang w:val="en-GB"/>
        </w:rPr>
        <w:t xml:space="preserve"> deliberation. The reasons for this are the absence of an independent </w:t>
      </w:r>
      <w:r w:rsidR="00FE2B16" w:rsidRPr="00100028">
        <w:rPr>
          <w:rFonts w:asciiTheme="majorBidi" w:hAnsiTheme="majorBidi" w:cstheme="majorBidi"/>
          <w:sz w:val="24"/>
          <w:szCs w:val="24"/>
          <w:lang w:val="en-GB"/>
        </w:rPr>
        <w:t>State</w:t>
      </w:r>
      <w:r w:rsidR="009E620C" w:rsidRPr="00100028">
        <w:rPr>
          <w:rFonts w:asciiTheme="majorBidi" w:hAnsiTheme="majorBidi" w:cstheme="majorBidi"/>
          <w:sz w:val="24"/>
          <w:szCs w:val="24"/>
          <w:lang w:val="en-GB"/>
        </w:rPr>
        <w:t xml:space="preserve"> capable</w:t>
      </w:r>
      <w:r w:rsidRPr="00100028">
        <w:rPr>
          <w:rFonts w:asciiTheme="majorBidi" w:hAnsiTheme="majorBidi" w:cstheme="majorBidi"/>
          <w:sz w:val="24"/>
          <w:szCs w:val="24"/>
          <w:lang w:val="en-GB"/>
        </w:rPr>
        <w:t xml:space="preserve"> </w:t>
      </w:r>
      <w:r w:rsidR="009E620C" w:rsidRPr="00100028">
        <w:rPr>
          <w:rFonts w:asciiTheme="majorBidi" w:hAnsiTheme="majorBidi" w:cstheme="majorBidi"/>
          <w:sz w:val="24"/>
          <w:szCs w:val="24"/>
          <w:lang w:val="en-GB"/>
        </w:rPr>
        <w:t xml:space="preserve">of </w:t>
      </w:r>
      <w:r w:rsidRPr="00100028">
        <w:rPr>
          <w:rFonts w:asciiTheme="majorBidi" w:hAnsiTheme="majorBidi" w:cstheme="majorBidi"/>
          <w:sz w:val="24"/>
          <w:szCs w:val="24"/>
          <w:lang w:val="en-GB"/>
        </w:rPr>
        <w:t>confer</w:t>
      </w:r>
      <w:r w:rsidR="009E620C" w:rsidRPr="00100028">
        <w:rPr>
          <w:rFonts w:asciiTheme="majorBidi" w:hAnsiTheme="majorBidi" w:cstheme="majorBidi"/>
          <w:sz w:val="24"/>
          <w:szCs w:val="24"/>
          <w:lang w:val="en-GB"/>
        </w:rPr>
        <w:t>ring its citizenship</w:t>
      </w:r>
      <w:r w:rsidRPr="00100028">
        <w:rPr>
          <w:rFonts w:asciiTheme="majorBidi" w:hAnsiTheme="majorBidi" w:cstheme="majorBidi"/>
          <w:sz w:val="24"/>
          <w:szCs w:val="24"/>
          <w:lang w:val="en-GB"/>
        </w:rPr>
        <w:t xml:space="preserve"> and obtain i</w:t>
      </w:r>
      <w:r w:rsidR="00EF1222" w:rsidRPr="00100028">
        <w:rPr>
          <w:rFonts w:asciiTheme="majorBidi" w:hAnsiTheme="majorBidi" w:cstheme="majorBidi"/>
          <w:sz w:val="24"/>
          <w:szCs w:val="24"/>
          <w:lang w:val="en-GB"/>
        </w:rPr>
        <w:t>nternational recognition</w:t>
      </w:r>
      <w:r w:rsidRPr="00100028">
        <w:rPr>
          <w:rFonts w:asciiTheme="majorBidi" w:hAnsiTheme="majorBidi" w:cstheme="majorBidi"/>
          <w:sz w:val="24"/>
          <w:szCs w:val="24"/>
          <w:lang w:val="en-GB"/>
        </w:rPr>
        <w:t xml:space="preserve">, and the lack of a strategy for dealing with </w:t>
      </w:r>
      <w:r w:rsidR="009E620C" w:rsidRPr="00100028">
        <w:rPr>
          <w:rFonts w:asciiTheme="majorBidi" w:hAnsiTheme="majorBidi" w:cstheme="majorBidi"/>
          <w:sz w:val="24"/>
          <w:szCs w:val="24"/>
          <w:lang w:val="en-GB"/>
        </w:rPr>
        <w:t>the question of citizenship</w:t>
      </w:r>
      <w:r w:rsidRPr="00100028">
        <w:rPr>
          <w:rFonts w:asciiTheme="majorBidi" w:hAnsiTheme="majorBidi" w:cstheme="majorBidi"/>
          <w:sz w:val="24"/>
          <w:szCs w:val="24"/>
          <w:lang w:val="en-GB"/>
        </w:rPr>
        <w:t xml:space="preserve"> in the event of a delay in the establishment of the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 xml:space="preserve"> at the end of the transitional period in May 1999.</w:t>
      </w:r>
      <w:r w:rsidR="000B75B3" w:rsidRPr="00100028">
        <w:rPr>
          <w:rStyle w:val="FootnoteReference"/>
          <w:rFonts w:asciiTheme="majorBidi" w:hAnsiTheme="majorBidi" w:cstheme="majorBidi"/>
          <w:sz w:val="24"/>
          <w:szCs w:val="24"/>
          <w:lang w:val="en-GB"/>
        </w:rPr>
        <w:footnoteReference w:id="121"/>
      </w:r>
    </w:p>
    <w:p w:rsidR="00A52788" w:rsidRPr="00100028" w:rsidRDefault="00A52788" w:rsidP="00100028">
      <w:pPr>
        <w:bidi w:val="0"/>
        <w:jc w:val="both"/>
        <w:rPr>
          <w:rFonts w:asciiTheme="majorBidi" w:hAnsiTheme="majorBidi" w:cstheme="majorBidi"/>
          <w:sz w:val="24"/>
          <w:szCs w:val="24"/>
          <w:lang w:val="en-GB"/>
        </w:rPr>
      </w:pPr>
    </w:p>
    <w:p w:rsidR="00F662F2"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Diplomatic protection is the m</w:t>
      </w:r>
      <w:r w:rsidR="00284B6A" w:rsidRPr="00100028">
        <w:rPr>
          <w:rFonts w:asciiTheme="majorBidi" w:hAnsiTheme="majorBidi" w:cstheme="majorBidi"/>
          <w:sz w:val="24"/>
          <w:szCs w:val="24"/>
          <w:lang w:val="en-GB"/>
        </w:rPr>
        <w:t>ain manifestation of citizenship</w:t>
      </w:r>
      <w:r w:rsidRPr="00100028">
        <w:rPr>
          <w:rFonts w:asciiTheme="majorBidi" w:hAnsiTheme="majorBidi" w:cstheme="majorBidi"/>
          <w:sz w:val="24"/>
          <w:szCs w:val="24"/>
          <w:lang w:val="en-GB"/>
        </w:rPr>
        <w:t xml:space="preserve"> a</w:t>
      </w:r>
      <w:r w:rsidR="00284B6A" w:rsidRPr="00100028">
        <w:rPr>
          <w:rFonts w:asciiTheme="majorBidi" w:hAnsiTheme="majorBidi" w:cstheme="majorBidi"/>
          <w:sz w:val="24"/>
          <w:szCs w:val="24"/>
          <w:lang w:val="en-GB"/>
        </w:rPr>
        <w:t>broad.</w:t>
      </w:r>
      <w:r w:rsidR="00EF1222" w:rsidRPr="00100028">
        <w:rPr>
          <w:rStyle w:val="FootnoteReference"/>
          <w:rFonts w:asciiTheme="majorBidi" w:hAnsiTheme="majorBidi" w:cstheme="majorBidi"/>
          <w:sz w:val="24"/>
          <w:szCs w:val="24"/>
          <w:lang w:val="en-GB"/>
        </w:rPr>
        <w:footnoteReference w:id="122"/>
      </w:r>
      <w:r w:rsidR="00284B6A" w:rsidRPr="00100028">
        <w:rPr>
          <w:rFonts w:asciiTheme="majorBidi" w:hAnsiTheme="majorBidi" w:cstheme="majorBidi"/>
          <w:sz w:val="24"/>
          <w:szCs w:val="24"/>
          <w:lang w:val="en-GB"/>
        </w:rPr>
        <w:t xml:space="preserve"> The PA</w:t>
      </w:r>
      <w:r w:rsidRPr="00100028">
        <w:rPr>
          <w:rFonts w:asciiTheme="majorBidi" w:hAnsiTheme="majorBidi" w:cstheme="majorBidi"/>
          <w:sz w:val="24"/>
          <w:szCs w:val="24"/>
          <w:lang w:val="en-GB"/>
        </w:rPr>
        <w:t xml:space="preserve"> was prevented under Oslo II from exercising certain types of diplomatic relations.</w:t>
      </w:r>
      <w:r w:rsidR="00F662F2" w:rsidRPr="00100028">
        <w:rPr>
          <w:rStyle w:val="FootnoteReference"/>
          <w:rFonts w:asciiTheme="majorBidi" w:hAnsiTheme="majorBidi" w:cstheme="majorBidi"/>
          <w:sz w:val="24"/>
          <w:szCs w:val="24"/>
          <w:lang w:val="en-GB"/>
        </w:rPr>
        <w:footnoteReference w:id="123"/>
      </w:r>
      <w:r w:rsidRPr="00100028">
        <w:rPr>
          <w:rFonts w:asciiTheme="majorBidi" w:hAnsiTheme="majorBidi" w:cstheme="majorBidi"/>
          <w:sz w:val="24"/>
          <w:szCs w:val="24"/>
          <w:lang w:val="en-GB"/>
        </w:rPr>
        <w:t xml:space="preserve"> Yet </w:t>
      </w:r>
      <w:r w:rsidRPr="00100028">
        <w:rPr>
          <w:rFonts w:asciiTheme="majorBidi" w:hAnsiTheme="majorBidi" w:cstheme="majorBidi"/>
          <w:sz w:val="24"/>
          <w:szCs w:val="24"/>
          <w:lang w:val="en-GB"/>
        </w:rPr>
        <w:lastRenderedPageBreak/>
        <w:t>this restriction did not apply to the P</w:t>
      </w:r>
      <w:r w:rsidR="00F662F2" w:rsidRPr="00100028">
        <w:rPr>
          <w:rFonts w:asciiTheme="majorBidi" w:hAnsiTheme="majorBidi" w:cstheme="majorBidi"/>
          <w:sz w:val="24"/>
          <w:szCs w:val="24"/>
          <w:lang w:val="en-GB"/>
        </w:rPr>
        <w:t>LO</w:t>
      </w:r>
      <w:r w:rsidRPr="00100028">
        <w:rPr>
          <w:rFonts w:asciiTheme="majorBidi" w:hAnsiTheme="majorBidi" w:cstheme="majorBidi"/>
          <w:sz w:val="24"/>
          <w:szCs w:val="24"/>
          <w:lang w:val="en-GB"/>
        </w:rPr>
        <w:t>. Nor, it can be argued, did it ap</w:t>
      </w:r>
      <w:r w:rsidR="00F662F2" w:rsidRPr="00100028">
        <w:rPr>
          <w:rFonts w:asciiTheme="majorBidi" w:hAnsiTheme="majorBidi" w:cstheme="majorBidi"/>
          <w:sz w:val="24"/>
          <w:szCs w:val="24"/>
          <w:lang w:val="en-GB"/>
        </w:rPr>
        <w:t>ply to the PA</w:t>
      </w:r>
      <w:r w:rsidRPr="00100028">
        <w:rPr>
          <w:rFonts w:asciiTheme="majorBidi" w:hAnsiTheme="majorBidi" w:cstheme="majorBidi"/>
          <w:sz w:val="24"/>
          <w:szCs w:val="24"/>
          <w:lang w:val="en-GB"/>
        </w:rPr>
        <w:t xml:space="preserve"> after the Oslo transitional period lapsed. Thus, nothing in international law would prevent</w:t>
      </w:r>
      <w:r w:rsidR="00F662F2" w:rsidRPr="00100028">
        <w:rPr>
          <w:rFonts w:asciiTheme="majorBidi" w:hAnsiTheme="majorBidi" w:cstheme="majorBidi"/>
          <w:sz w:val="24"/>
          <w:szCs w:val="24"/>
          <w:lang w:val="en-GB"/>
        </w:rPr>
        <w:t xml:space="preserve"> the PLO or the PA</w:t>
      </w:r>
      <w:r w:rsidRPr="00100028">
        <w:rPr>
          <w:rFonts w:asciiTheme="majorBidi" w:hAnsiTheme="majorBidi" w:cstheme="majorBidi"/>
          <w:sz w:val="24"/>
          <w:szCs w:val="24"/>
          <w:lang w:val="en-GB"/>
        </w:rPr>
        <w:t xml:space="preserve"> from exercising diplomatic protection on behalf of Palestinians abroad</w:t>
      </w:r>
      <w:r w:rsidR="00F662F2" w:rsidRPr="00100028">
        <w:rPr>
          <w:rFonts w:asciiTheme="majorBidi" w:hAnsiTheme="majorBidi" w:cstheme="majorBidi"/>
          <w:sz w:val="24"/>
          <w:szCs w:val="24"/>
          <w:lang w:val="en-GB"/>
        </w:rPr>
        <w:t xml:space="preserve">, particularly after the recognition of Palestine as a </w:t>
      </w:r>
      <w:r w:rsidR="00FE2B16" w:rsidRPr="00100028">
        <w:rPr>
          <w:rFonts w:asciiTheme="majorBidi" w:hAnsiTheme="majorBidi" w:cstheme="majorBidi"/>
          <w:sz w:val="24"/>
          <w:szCs w:val="24"/>
          <w:lang w:val="en-GB"/>
        </w:rPr>
        <w:t>State</w:t>
      </w:r>
      <w:r w:rsidR="00EF1222" w:rsidRPr="00100028">
        <w:rPr>
          <w:rFonts w:asciiTheme="majorBidi" w:hAnsiTheme="majorBidi" w:cstheme="majorBidi"/>
          <w:sz w:val="24"/>
          <w:szCs w:val="24"/>
          <w:lang w:val="en-GB"/>
        </w:rPr>
        <w:t xml:space="preserve"> by the UN General Assembly o</w:t>
      </w:r>
      <w:r w:rsidR="00F662F2" w:rsidRPr="00100028">
        <w:rPr>
          <w:rFonts w:asciiTheme="majorBidi" w:hAnsiTheme="majorBidi" w:cstheme="majorBidi"/>
          <w:sz w:val="24"/>
          <w:szCs w:val="24"/>
          <w:lang w:val="en-GB"/>
        </w:rPr>
        <w:t xml:space="preserve">n </w:t>
      </w:r>
      <w:r w:rsidR="00EF1222" w:rsidRPr="00100028">
        <w:rPr>
          <w:rFonts w:asciiTheme="majorBidi" w:hAnsiTheme="majorBidi" w:cstheme="majorBidi"/>
          <w:sz w:val="24"/>
          <w:szCs w:val="24"/>
          <w:lang w:val="en-GB"/>
        </w:rPr>
        <w:t xml:space="preserve">29 </w:t>
      </w:r>
      <w:r w:rsidR="00F662F2" w:rsidRPr="00100028">
        <w:rPr>
          <w:rFonts w:asciiTheme="majorBidi" w:hAnsiTheme="majorBidi" w:cstheme="majorBidi"/>
          <w:sz w:val="24"/>
          <w:szCs w:val="24"/>
          <w:lang w:val="en-GB"/>
        </w:rPr>
        <w:t xml:space="preserve">November 2012, and more specifically after the accession of Palestine </w:t>
      </w:r>
      <w:r w:rsidR="00DD2FC7" w:rsidRPr="00100028">
        <w:rPr>
          <w:rFonts w:asciiTheme="majorBidi" w:hAnsiTheme="majorBidi" w:cstheme="majorBidi"/>
          <w:sz w:val="24"/>
          <w:szCs w:val="24"/>
          <w:lang w:val="en-GB"/>
        </w:rPr>
        <w:t xml:space="preserve">on </w:t>
      </w:r>
      <w:r w:rsidR="00A52B2B" w:rsidRPr="00100028">
        <w:rPr>
          <w:rFonts w:asciiTheme="majorBidi" w:hAnsiTheme="majorBidi" w:cstheme="majorBidi"/>
          <w:sz w:val="24"/>
          <w:szCs w:val="24"/>
          <w:lang w:val="en-GB"/>
        </w:rPr>
        <w:t>2</w:t>
      </w:r>
      <w:r w:rsidR="00DD2FC7" w:rsidRPr="00100028">
        <w:rPr>
          <w:rFonts w:asciiTheme="majorBidi" w:hAnsiTheme="majorBidi" w:cstheme="majorBidi"/>
          <w:sz w:val="24"/>
          <w:szCs w:val="24"/>
          <w:lang w:val="en-GB"/>
        </w:rPr>
        <w:t xml:space="preserve"> April 2014 </w:t>
      </w:r>
      <w:r w:rsidR="00F662F2" w:rsidRPr="00100028">
        <w:rPr>
          <w:rFonts w:asciiTheme="majorBidi" w:hAnsiTheme="majorBidi" w:cstheme="majorBidi"/>
          <w:sz w:val="24"/>
          <w:szCs w:val="24"/>
          <w:lang w:val="en-GB"/>
        </w:rPr>
        <w:t xml:space="preserve">to </w:t>
      </w:r>
      <w:r w:rsidR="00A52B2B" w:rsidRPr="00100028">
        <w:rPr>
          <w:rFonts w:asciiTheme="majorBidi" w:hAnsiTheme="majorBidi" w:cstheme="majorBidi"/>
          <w:sz w:val="24"/>
          <w:szCs w:val="24"/>
          <w:lang w:val="en-GB"/>
        </w:rPr>
        <w:t xml:space="preserve">both </w:t>
      </w:r>
      <w:r w:rsidR="00F662F2" w:rsidRPr="00100028">
        <w:rPr>
          <w:rFonts w:asciiTheme="majorBidi" w:hAnsiTheme="majorBidi" w:cstheme="majorBidi"/>
          <w:sz w:val="24"/>
          <w:szCs w:val="24"/>
          <w:lang w:val="en-GB"/>
        </w:rPr>
        <w:t>Vienna Convention on Diplomatic Relations of 18 April 1961</w:t>
      </w:r>
      <w:r w:rsidR="00EF1222" w:rsidRPr="00100028">
        <w:rPr>
          <w:rFonts w:asciiTheme="majorBidi" w:hAnsiTheme="majorBidi" w:cstheme="majorBidi"/>
          <w:sz w:val="24"/>
          <w:szCs w:val="24"/>
          <w:lang w:val="en-GB"/>
        </w:rPr>
        <w:t>,</w:t>
      </w:r>
      <w:r w:rsidR="00EF1222" w:rsidRPr="00100028">
        <w:rPr>
          <w:rStyle w:val="FootnoteReference"/>
          <w:rFonts w:asciiTheme="majorBidi" w:hAnsiTheme="majorBidi" w:cstheme="majorBidi"/>
          <w:sz w:val="24"/>
          <w:szCs w:val="24"/>
          <w:lang w:val="en-GB"/>
        </w:rPr>
        <w:footnoteReference w:id="124"/>
      </w:r>
      <w:r w:rsidR="00F662F2" w:rsidRPr="00100028">
        <w:rPr>
          <w:rFonts w:asciiTheme="majorBidi" w:hAnsiTheme="majorBidi" w:cstheme="majorBidi"/>
          <w:sz w:val="24"/>
          <w:szCs w:val="24"/>
          <w:lang w:val="en-GB"/>
        </w:rPr>
        <w:t xml:space="preserve"> and Vienna Convention on Consular Relations of 24 April 1963.</w:t>
      </w:r>
      <w:r w:rsidR="00EF1222" w:rsidRPr="00100028">
        <w:rPr>
          <w:rStyle w:val="FootnoteReference"/>
          <w:rFonts w:asciiTheme="majorBidi" w:hAnsiTheme="majorBidi" w:cstheme="majorBidi"/>
          <w:sz w:val="24"/>
          <w:szCs w:val="24"/>
          <w:lang w:val="en-GB"/>
        </w:rPr>
        <w:footnoteReference w:id="125"/>
      </w:r>
    </w:p>
    <w:p w:rsidR="00F662F2" w:rsidRPr="00100028" w:rsidRDefault="00F662F2"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Diplomatic protection may be extended to </w:t>
      </w:r>
      <w:r w:rsidR="00F662F2" w:rsidRPr="00100028">
        <w:rPr>
          <w:rFonts w:asciiTheme="majorBidi" w:hAnsiTheme="majorBidi" w:cstheme="majorBidi"/>
          <w:sz w:val="24"/>
          <w:szCs w:val="24"/>
          <w:lang w:val="en-GB"/>
        </w:rPr>
        <w:t>any Palestinian citizen</w:t>
      </w:r>
      <w:r w:rsidRPr="00100028">
        <w:rPr>
          <w:rFonts w:asciiTheme="majorBidi" w:hAnsiTheme="majorBidi" w:cstheme="majorBidi"/>
          <w:sz w:val="24"/>
          <w:szCs w:val="24"/>
          <w:lang w:val="en-GB"/>
        </w:rPr>
        <w:t>. It may be exercised through bilateral agr</w:t>
      </w:r>
      <w:r w:rsidR="00F662F2" w:rsidRPr="00100028">
        <w:rPr>
          <w:rFonts w:asciiTheme="majorBidi" w:hAnsiTheme="majorBidi" w:cstheme="majorBidi"/>
          <w:sz w:val="24"/>
          <w:szCs w:val="24"/>
          <w:lang w:val="en-GB"/>
        </w:rPr>
        <w:t xml:space="preserve">eements between the </w:t>
      </w:r>
      <w:r w:rsidR="00FE2B16" w:rsidRPr="00100028">
        <w:rPr>
          <w:rFonts w:asciiTheme="majorBidi" w:hAnsiTheme="majorBidi" w:cstheme="majorBidi"/>
          <w:sz w:val="24"/>
          <w:szCs w:val="24"/>
          <w:lang w:val="en-GB"/>
        </w:rPr>
        <w:t>State</w:t>
      </w:r>
      <w:r w:rsidR="00F662F2" w:rsidRPr="00100028">
        <w:rPr>
          <w:rFonts w:asciiTheme="majorBidi" w:hAnsiTheme="majorBidi" w:cstheme="majorBidi"/>
          <w:sz w:val="24"/>
          <w:szCs w:val="24"/>
          <w:lang w:val="en-GB"/>
        </w:rPr>
        <w:t xml:space="preserve"> of Palestine</w:t>
      </w:r>
      <w:r w:rsidRPr="00100028">
        <w:rPr>
          <w:rFonts w:asciiTheme="majorBidi" w:hAnsiTheme="majorBidi" w:cstheme="majorBidi"/>
          <w:sz w:val="24"/>
          <w:szCs w:val="24"/>
          <w:lang w:val="en-GB"/>
        </w:rPr>
        <w:t xml:space="preserve"> and other </w:t>
      </w:r>
      <w:r w:rsidR="00FE2B16" w:rsidRPr="00100028">
        <w:rPr>
          <w:rFonts w:asciiTheme="majorBidi" w:hAnsiTheme="majorBidi" w:cstheme="majorBidi"/>
          <w:sz w:val="24"/>
          <w:szCs w:val="24"/>
          <w:lang w:val="en-GB"/>
        </w:rPr>
        <w:t>State</w:t>
      </w:r>
      <w:r w:rsidR="00F662F2" w:rsidRPr="00100028">
        <w:rPr>
          <w:rFonts w:asciiTheme="majorBidi" w:hAnsiTheme="majorBidi" w:cstheme="majorBidi"/>
          <w:sz w:val="24"/>
          <w:szCs w:val="24"/>
          <w:lang w:val="en-GB"/>
        </w:rPr>
        <w:t>s</w:t>
      </w:r>
      <w:r w:rsidRPr="00100028">
        <w:rPr>
          <w:rFonts w:asciiTheme="majorBidi" w:hAnsiTheme="majorBidi" w:cstheme="majorBidi"/>
          <w:sz w:val="24"/>
          <w:szCs w:val="24"/>
          <w:lang w:val="en-GB"/>
        </w:rPr>
        <w:t>. Diplomatic protection takes various forms and can be exercised at differ</w:t>
      </w:r>
      <w:r w:rsidR="00EF1222" w:rsidRPr="00100028">
        <w:rPr>
          <w:rFonts w:asciiTheme="majorBidi" w:hAnsiTheme="majorBidi" w:cstheme="majorBidi"/>
          <w:sz w:val="24"/>
          <w:szCs w:val="24"/>
          <w:lang w:val="en-GB"/>
        </w:rPr>
        <w:t>ent official</w:t>
      </w:r>
      <w:r w:rsidR="00F662F2" w:rsidRPr="00100028">
        <w:rPr>
          <w:rFonts w:asciiTheme="majorBidi" w:hAnsiTheme="majorBidi" w:cstheme="majorBidi"/>
          <w:sz w:val="24"/>
          <w:szCs w:val="24"/>
          <w:lang w:val="en-GB"/>
        </w:rPr>
        <w:t xml:space="preserve"> or informal</w:t>
      </w:r>
      <w:r w:rsidR="00EF1222" w:rsidRPr="00100028">
        <w:rPr>
          <w:rFonts w:asciiTheme="majorBidi" w:hAnsiTheme="majorBidi" w:cstheme="majorBidi"/>
          <w:sz w:val="24"/>
          <w:szCs w:val="24"/>
          <w:lang w:val="en-GB"/>
        </w:rPr>
        <w:t xml:space="preserve"> fronts</w:t>
      </w:r>
      <w:r w:rsidRPr="00100028">
        <w:rPr>
          <w:rFonts w:asciiTheme="majorBidi" w:hAnsiTheme="majorBidi" w:cstheme="majorBidi"/>
          <w:sz w:val="24"/>
          <w:szCs w:val="24"/>
          <w:lang w:val="en-GB"/>
        </w:rPr>
        <w:t>. It includes assistance to Palestinians abroad in regard to civil status matters, such as registration of marriage, divorce, birth or death, defence of persons facing criminal charges, certification of educational diplomas obtained abroad, med</w:t>
      </w:r>
      <w:r w:rsidR="00F61453" w:rsidRPr="00100028">
        <w:rPr>
          <w:rFonts w:asciiTheme="majorBidi" w:hAnsiTheme="majorBidi" w:cstheme="majorBidi"/>
          <w:sz w:val="24"/>
          <w:szCs w:val="24"/>
          <w:lang w:val="en-GB"/>
        </w:rPr>
        <w:t>iation on behalf of citizens</w:t>
      </w:r>
      <w:r w:rsidRPr="00100028">
        <w:rPr>
          <w:rFonts w:asciiTheme="majorBidi" w:hAnsiTheme="majorBidi" w:cstheme="majorBidi"/>
          <w:sz w:val="24"/>
          <w:szCs w:val="24"/>
          <w:lang w:val="en-GB"/>
        </w:rPr>
        <w:t xml:space="preserve"> with international organizations in these countries (</w:t>
      </w:r>
      <w:r w:rsidR="00F61453" w:rsidRPr="00100028">
        <w:rPr>
          <w:rFonts w:asciiTheme="majorBidi" w:hAnsiTheme="majorBidi" w:cstheme="majorBidi"/>
          <w:sz w:val="24"/>
          <w:szCs w:val="24"/>
          <w:lang w:val="en-GB"/>
        </w:rPr>
        <w:t xml:space="preserve">e.g. </w:t>
      </w:r>
      <w:r w:rsidRPr="00100028">
        <w:rPr>
          <w:rFonts w:asciiTheme="majorBidi" w:hAnsiTheme="majorBidi" w:cstheme="majorBidi"/>
          <w:sz w:val="24"/>
          <w:szCs w:val="24"/>
          <w:lang w:val="en-GB"/>
        </w:rPr>
        <w:t xml:space="preserve">supporting the rights of persons to obtain refugee status by intervening with </w:t>
      </w:r>
      <w:r w:rsidR="00F61453" w:rsidRPr="00100028">
        <w:rPr>
          <w:rFonts w:asciiTheme="majorBidi" w:hAnsiTheme="majorBidi" w:cstheme="majorBidi"/>
          <w:sz w:val="24"/>
          <w:szCs w:val="24"/>
          <w:lang w:val="en-GB"/>
        </w:rPr>
        <w:t>the Office of the UN</w:t>
      </w:r>
      <w:r w:rsidRPr="00100028">
        <w:rPr>
          <w:rFonts w:asciiTheme="majorBidi" w:hAnsiTheme="majorBidi" w:cstheme="majorBidi"/>
          <w:sz w:val="24"/>
          <w:szCs w:val="24"/>
          <w:lang w:val="en-GB"/>
        </w:rPr>
        <w:t xml:space="preserve"> High Commissioner for Refugees or defending </w:t>
      </w:r>
      <w:r w:rsidR="00F61453" w:rsidRPr="00100028">
        <w:rPr>
          <w:rFonts w:asciiTheme="majorBidi" w:hAnsiTheme="majorBidi" w:cstheme="majorBidi"/>
          <w:sz w:val="24"/>
          <w:szCs w:val="24"/>
          <w:lang w:val="en-GB"/>
        </w:rPr>
        <w:t>the labour rights of</w:t>
      </w:r>
      <w:r w:rsidRPr="00100028">
        <w:rPr>
          <w:rFonts w:asciiTheme="majorBidi" w:hAnsiTheme="majorBidi" w:cstheme="majorBidi"/>
          <w:sz w:val="24"/>
          <w:szCs w:val="24"/>
          <w:lang w:val="en-GB"/>
        </w:rPr>
        <w:t xml:space="preserve"> workers employed by international compa</w:t>
      </w:r>
      <w:r w:rsidR="00F61453" w:rsidRPr="00100028">
        <w:rPr>
          <w:rFonts w:asciiTheme="majorBidi" w:hAnsiTheme="majorBidi" w:cstheme="majorBidi"/>
          <w:sz w:val="24"/>
          <w:szCs w:val="24"/>
          <w:lang w:val="en-GB"/>
        </w:rPr>
        <w:t>nies), assistance to</w:t>
      </w:r>
      <w:r w:rsidRPr="00100028">
        <w:rPr>
          <w:rFonts w:asciiTheme="majorBidi" w:hAnsiTheme="majorBidi" w:cstheme="majorBidi"/>
          <w:sz w:val="24"/>
          <w:szCs w:val="24"/>
          <w:lang w:val="en-GB"/>
        </w:rPr>
        <w:t xml:space="preserve"> investors abroad by providing</w:t>
      </w:r>
      <w:r w:rsidR="00F61453" w:rsidRPr="00100028">
        <w:rPr>
          <w:rFonts w:asciiTheme="majorBidi" w:hAnsiTheme="majorBidi" w:cstheme="majorBidi"/>
          <w:sz w:val="24"/>
          <w:szCs w:val="24"/>
          <w:lang w:val="en-GB"/>
        </w:rPr>
        <w:t xml:space="preserve"> technical advice</w:t>
      </w:r>
      <w:r w:rsidRPr="00100028">
        <w:rPr>
          <w:rFonts w:asciiTheme="majorBidi" w:hAnsiTheme="majorBidi" w:cstheme="majorBidi"/>
          <w:sz w:val="24"/>
          <w:szCs w:val="24"/>
          <w:lang w:val="en-GB"/>
        </w:rPr>
        <w:t xml:space="preserve">, and the issuing of Palestinian passports. </w:t>
      </w:r>
      <w:r w:rsidR="00EF1222" w:rsidRPr="00100028">
        <w:rPr>
          <w:rFonts w:asciiTheme="majorBidi" w:hAnsiTheme="majorBidi" w:cstheme="majorBidi"/>
          <w:sz w:val="24"/>
          <w:szCs w:val="24"/>
          <w:lang w:val="en-GB"/>
        </w:rPr>
        <w:t>Despite the fact that various type</w:t>
      </w:r>
      <w:r w:rsidR="0052158F" w:rsidRPr="00100028">
        <w:rPr>
          <w:rFonts w:asciiTheme="majorBidi" w:hAnsiTheme="majorBidi" w:cstheme="majorBidi"/>
          <w:sz w:val="24"/>
          <w:szCs w:val="24"/>
          <w:lang w:val="en-GB"/>
        </w:rPr>
        <w:t>s of such assistance are</w:t>
      </w:r>
      <w:r w:rsidR="000B75B3" w:rsidRPr="00100028">
        <w:rPr>
          <w:rFonts w:asciiTheme="majorBidi" w:hAnsiTheme="majorBidi" w:cstheme="majorBidi"/>
          <w:sz w:val="24"/>
          <w:szCs w:val="24"/>
          <w:lang w:val="en-GB"/>
        </w:rPr>
        <w:t xml:space="preserve"> supplied</w:t>
      </w:r>
      <w:r w:rsidR="00EF1222" w:rsidRPr="00100028">
        <w:rPr>
          <w:rFonts w:asciiTheme="majorBidi" w:hAnsiTheme="majorBidi" w:cstheme="majorBidi"/>
          <w:sz w:val="24"/>
          <w:szCs w:val="24"/>
          <w:lang w:val="en-GB"/>
        </w:rPr>
        <w:t xml:space="preserve"> on </w:t>
      </w:r>
      <w:r w:rsidR="00EF1222" w:rsidRPr="00100028">
        <w:rPr>
          <w:rFonts w:asciiTheme="majorBidi" w:hAnsiTheme="majorBidi" w:cstheme="majorBidi"/>
          <w:i/>
          <w:iCs/>
          <w:sz w:val="24"/>
          <w:szCs w:val="24"/>
          <w:lang w:val="en-GB"/>
        </w:rPr>
        <w:t>ad hoc</w:t>
      </w:r>
      <w:r w:rsidR="00EF1222" w:rsidRPr="00100028">
        <w:rPr>
          <w:rFonts w:asciiTheme="majorBidi" w:hAnsiTheme="majorBidi" w:cstheme="majorBidi"/>
          <w:sz w:val="24"/>
          <w:szCs w:val="24"/>
          <w:lang w:val="en-GB"/>
        </w:rPr>
        <w:t xml:space="preserve"> basis,</w:t>
      </w:r>
      <w:r w:rsidR="00EF1222" w:rsidRPr="00100028">
        <w:rPr>
          <w:rStyle w:val="FootnoteReference"/>
          <w:rFonts w:asciiTheme="majorBidi" w:hAnsiTheme="majorBidi" w:cstheme="majorBidi"/>
          <w:sz w:val="24"/>
          <w:szCs w:val="24"/>
          <w:lang w:val="en-GB"/>
        </w:rPr>
        <w:footnoteReference w:id="126"/>
      </w:r>
      <w:r w:rsidR="00EF1222" w:rsidRPr="00100028">
        <w:rPr>
          <w:rFonts w:asciiTheme="majorBidi" w:hAnsiTheme="majorBidi" w:cstheme="majorBidi"/>
          <w:sz w:val="24"/>
          <w:szCs w:val="24"/>
          <w:lang w:val="en-GB"/>
        </w:rPr>
        <w:t xml:space="preserve"> s</w:t>
      </w:r>
      <w:r w:rsidRPr="00100028">
        <w:rPr>
          <w:rFonts w:asciiTheme="majorBidi" w:hAnsiTheme="majorBidi" w:cstheme="majorBidi"/>
          <w:sz w:val="24"/>
          <w:szCs w:val="24"/>
          <w:lang w:val="en-GB"/>
        </w:rPr>
        <w:t>uch protection needs to be institutionalized. It may be exercised by existing Palestinian embassies, consulates, missions or representative offices. These diplomatic institutions should be strengthened by hiring trained staff to exercise protection as a technical function.</w:t>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8A017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The</w:t>
      </w:r>
      <w:r w:rsidR="00A52788" w:rsidRPr="00100028">
        <w:rPr>
          <w:rFonts w:asciiTheme="majorBidi" w:hAnsiTheme="majorBidi" w:cstheme="majorBidi"/>
          <w:sz w:val="24"/>
          <w:szCs w:val="24"/>
          <w:lang w:val="en-GB"/>
        </w:rPr>
        <w:t xml:space="preserve"> Arab inhabitants </w:t>
      </w:r>
      <w:r w:rsidRPr="00100028">
        <w:rPr>
          <w:rFonts w:asciiTheme="majorBidi" w:hAnsiTheme="majorBidi" w:cstheme="majorBidi"/>
          <w:sz w:val="24"/>
          <w:szCs w:val="24"/>
          <w:lang w:val="en-GB"/>
        </w:rPr>
        <w:t xml:space="preserve">of the West Bank and Gaza </w:t>
      </w:r>
      <w:r w:rsidR="00A52788" w:rsidRPr="00100028">
        <w:rPr>
          <w:rFonts w:asciiTheme="majorBidi" w:hAnsiTheme="majorBidi" w:cstheme="majorBidi"/>
          <w:sz w:val="24"/>
          <w:szCs w:val="24"/>
          <w:lang w:val="en-GB"/>
        </w:rPr>
        <w:t>(unlike Jewish settl</w:t>
      </w:r>
      <w:r w:rsidR="00F61453" w:rsidRPr="00100028">
        <w:rPr>
          <w:rFonts w:asciiTheme="majorBidi" w:hAnsiTheme="majorBidi" w:cstheme="majorBidi"/>
          <w:sz w:val="24"/>
          <w:szCs w:val="24"/>
          <w:lang w:val="en-GB"/>
        </w:rPr>
        <w:t>ers who hold Israeli citizenship</w:t>
      </w:r>
      <w:r w:rsidR="00A52788" w:rsidRPr="00100028">
        <w:rPr>
          <w:rFonts w:asciiTheme="majorBidi" w:hAnsiTheme="majorBidi" w:cstheme="majorBidi"/>
          <w:sz w:val="24"/>
          <w:szCs w:val="24"/>
          <w:lang w:val="en-GB"/>
        </w:rPr>
        <w:t>) currently hold green-coloured Palestinian identity cards, which indicate their right of reside</w:t>
      </w:r>
      <w:r w:rsidR="00F61453" w:rsidRPr="00100028">
        <w:rPr>
          <w:rFonts w:asciiTheme="majorBidi" w:hAnsiTheme="majorBidi" w:cstheme="majorBidi"/>
          <w:sz w:val="24"/>
          <w:szCs w:val="24"/>
          <w:lang w:val="en-GB"/>
        </w:rPr>
        <w:t>nce. Under PA rule,</w:t>
      </w:r>
      <w:r w:rsidR="00A52788" w:rsidRPr="00100028">
        <w:rPr>
          <w:rFonts w:asciiTheme="majorBidi" w:hAnsiTheme="majorBidi" w:cstheme="majorBidi"/>
          <w:sz w:val="24"/>
          <w:szCs w:val="24"/>
          <w:lang w:val="en-GB"/>
        </w:rPr>
        <w:t xml:space="preserve"> inhabitants enjoy most citizens</w:t>
      </w:r>
      <w:r w:rsidR="00F130C3" w:rsidRPr="00100028">
        <w:rPr>
          <w:rFonts w:asciiTheme="majorBidi" w:hAnsiTheme="majorBidi" w:cstheme="majorBidi"/>
          <w:sz w:val="24"/>
          <w:szCs w:val="24"/>
          <w:lang w:val="en-GB"/>
        </w:rPr>
        <w:t>’</w:t>
      </w:r>
      <w:r w:rsidR="00BD4ED9" w:rsidRPr="00100028">
        <w:rPr>
          <w:rFonts w:asciiTheme="majorBidi" w:hAnsiTheme="majorBidi" w:cstheme="majorBidi"/>
          <w:sz w:val="24"/>
          <w:szCs w:val="24"/>
          <w:lang w:val="en-GB"/>
        </w:rPr>
        <w:t xml:space="preserve"> rights. A</w:t>
      </w:r>
      <w:r w:rsidR="00FF4E61" w:rsidRPr="00100028">
        <w:rPr>
          <w:rFonts w:asciiTheme="majorBidi" w:hAnsiTheme="majorBidi" w:cstheme="majorBidi"/>
          <w:sz w:val="24"/>
          <w:szCs w:val="24"/>
          <w:lang w:val="en-GB"/>
        </w:rPr>
        <w:t>s citizens, unlike foreigners</w:t>
      </w:r>
      <w:r w:rsidR="002E5030" w:rsidRPr="00100028">
        <w:rPr>
          <w:rFonts w:asciiTheme="majorBidi" w:hAnsiTheme="majorBidi" w:cstheme="majorBidi"/>
          <w:sz w:val="24"/>
          <w:szCs w:val="24"/>
          <w:lang w:val="en-GB"/>
        </w:rPr>
        <w:t>,</w:t>
      </w:r>
      <w:r w:rsidR="007800F0" w:rsidRPr="00100028">
        <w:rPr>
          <w:rFonts w:asciiTheme="majorBidi" w:hAnsiTheme="majorBidi" w:cstheme="majorBidi"/>
          <w:sz w:val="24"/>
          <w:szCs w:val="24"/>
          <w:lang w:val="en-GB"/>
        </w:rPr>
        <w:t xml:space="preserve"> </w:t>
      </w:r>
      <w:r w:rsidR="00BD4ED9" w:rsidRPr="00100028">
        <w:rPr>
          <w:rFonts w:asciiTheme="majorBidi" w:hAnsiTheme="majorBidi" w:cstheme="majorBidi"/>
          <w:sz w:val="24"/>
          <w:szCs w:val="24"/>
          <w:lang w:val="en-GB"/>
        </w:rPr>
        <w:t xml:space="preserve">can </w:t>
      </w:r>
      <w:r w:rsidR="007800F0" w:rsidRPr="00100028">
        <w:rPr>
          <w:rFonts w:asciiTheme="majorBidi" w:hAnsiTheme="majorBidi" w:cstheme="majorBidi"/>
          <w:sz w:val="24"/>
          <w:szCs w:val="24"/>
          <w:lang w:val="en-GB"/>
        </w:rPr>
        <w:t>vote in legislative elections and</w:t>
      </w:r>
      <w:r w:rsidR="00A52788" w:rsidRPr="00100028">
        <w:rPr>
          <w:rFonts w:asciiTheme="majorBidi" w:hAnsiTheme="majorBidi" w:cstheme="majorBidi"/>
          <w:sz w:val="24"/>
          <w:szCs w:val="24"/>
          <w:lang w:val="en-GB"/>
        </w:rPr>
        <w:t xml:space="preserve"> be elected to parliament</w:t>
      </w:r>
      <w:r w:rsidR="007800F0" w:rsidRPr="00100028">
        <w:rPr>
          <w:rFonts w:asciiTheme="majorBidi" w:hAnsiTheme="majorBidi" w:cstheme="majorBidi"/>
          <w:sz w:val="24"/>
          <w:szCs w:val="24"/>
          <w:lang w:val="en-GB"/>
        </w:rPr>
        <w:t xml:space="preserve"> and municipalities</w:t>
      </w:r>
      <w:r w:rsidR="00A52788" w:rsidRPr="00100028">
        <w:rPr>
          <w:rFonts w:asciiTheme="majorBidi" w:hAnsiTheme="majorBidi" w:cstheme="majorBidi"/>
          <w:sz w:val="24"/>
          <w:szCs w:val="24"/>
          <w:lang w:val="en-GB"/>
        </w:rPr>
        <w:t>,</w:t>
      </w:r>
      <w:r w:rsidR="007800F0" w:rsidRPr="00100028">
        <w:rPr>
          <w:rStyle w:val="FootnoteReference"/>
          <w:rFonts w:asciiTheme="majorBidi" w:hAnsiTheme="majorBidi" w:cstheme="majorBidi"/>
          <w:sz w:val="24"/>
          <w:szCs w:val="24"/>
          <w:lang w:val="en-GB"/>
        </w:rPr>
        <w:footnoteReference w:id="127"/>
      </w:r>
      <w:r w:rsidR="003677F9" w:rsidRPr="00100028">
        <w:rPr>
          <w:rFonts w:asciiTheme="majorBidi" w:hAnsiTheme="majorBidi" w:cstheme="majorBidi"/>
          <w:sz w:val="24"/>
          <w:szCs w:val="24"/>
          <w:lang w:val="en-GB"/>
        </w:rPr>
        <w:t xml:space="preserve"> hold public service</w:t>
      </w:r>
      <w:r w:rsidR="00A52788" w:rsidRPr="00100028">
        <w:rPr>
          <w:rFonts w:asciiTheme="majorBidi" w:hAnsiTheme="majorBidi" w:cstheme="majorBidi"/>
          <w:sz w:val="24"/>
          <w:szCs w:val="24"/>
          <w:lang w:val="en-GB"/>
        </w:rPr>
        <w:t>,</w:t>
      </w:r>
      <w:r w:rsidR="007800F0" w:rsidRPr="00100028">
        <w:rPr>
          <w:rStyle w:val="FootnoteReference"/>
          <w:rFonts w:asciiTheme="majorBidi" w:hAnsiTheme="majorBidi" w:cstheme="majorBidi"/>
          <w:sz w:val="24"/>
          <w:szCs w:val="24"/>
          <w:lang w:val="en-GB"/>
        </w:rPr>
        <w:footnoteReference w:id="128"/>
      </w:r>
      <w:r w:rsidR="00A52788" w:rsidRPr="00100028">
        <w:rPr>
          <w:rFonts w:asciiTheme="majorBidi" w:hAnsiTheme="majorBidi" w:cstheme="majorBidi"/>
          <w:sz w:val="24"/>
          <w:szCs w:val="24"/>
          <w:lang w:val="en-GB"/>
        </w:rPr>
        <w:t xml:space="preserve"> become ministers or judges,</w:t>
      </w:r>
      <w:r w:rsidR="007800F0" w:rsidRPr="00100028">
        <w:rPr>
          <w:rStyle w:val="FootnoteReference"/>
          <w:rFonts w:asciiTheme="majorBidi" w:hAnsiTheme="majorBidi" w:cstheme="majorBidi"/>
          <w:sz w:val="24"/>
          <w:szCs w:val="24"/>
          <w:lang w:val="en-GB"/>
        </w:rPr>
        <w:footnoteReference w:id="129"/>
      </w:r>
      <w:r w:rsidR="007800F0" w:rsidRPr="00100028">
        <w:rPr>
          <w:rFonts w:asciiTheme="majorBidi" w:hAnsiTheme="majorBidi" w:cstheme="majorBidi"/>
          <w:sz w:val="24"/>
          <w:szCs w:val="24"/>
          <w:lang w:val="en-GB"/>
        </w:rPr>
        <w:t xml:space="preserve"> own real estate,</w:t>
      </w:r>
      <w:r w:rsidR="007800F0" w:rsidRPr="00100028">
        <w:rPr>
          <w:rStyle w:val="FootnoteReference"/>
          <w:rFonts w:asciiTheme="majorBidi" w:hAnsiTheme="majorBidi" w:cstheme="majorBidi"/>
          <w:sz w:val="24"/>
          <w:szCs w:val="24"/>
          <w:lang w:val="en-GB"/>
        </w:rPr>
        <w:footnoteReference w:id="130"/>
      </w:r>
      <w:r w:rsidR="007800F0" w:rsidRPr="00100028">
        <w:rPr>
          <w:rFonts w:asciiTheme="majorBidi" w:hAnsiTheme="majorBidi" w:cstheme="majorBidi"/>
          <w:sz w:val="24"/>
          <w:szCs w:val="24"/>
          <w:lang w:val="en-GB"/>
        </w:rPr>
        <w:t xml:space="preserve"> </w:t>
      </w:r>
      <w:r w:rsidR="002E5030" w:rsidRPr="00100028">
        <w:rPr>
          <w:rFonts w:asciiTheme="majorBidi" w:hAnsiTheme="majorBidi" w:cstheme="majorBidi"/>
          <w:sz w:val="24"/>
          <w:szCs w:val="24"/>
          <w:lang w:val="en-GB"/>
        </w:rPr>
        <w:t>practice professions,</w:t>
      </w:r>
      <w:r w:rsidR="00923794" w:rsidRPr="00100028">
        <w:rPr>
          <w:rStyle w:val="FootnoteReference"/>
          <w:rFonts w:asciiTheme="majorBidi" w:hAnsiTheme="majorBidi" w:cstheme="majorBidi"/>
          <w:sz w:val="24"/>
          <w:szCs w:val="24"/>
          <w:lang w:val="en-GB"/>
        </w:rPr>
        <w:footnoteReference w:id="131"/>
      </w:r>
      <w:r w:rsidR="002E5030" w:rsidRPr="00100028">
        <w:rPr>
          <w:rFonts w:asciiTheme="majorBidi" w:hAnsiTheme="majorBidi" w:cstheme="majorBidi"/>
          <w:sz w:val="24"/>
          <w:szCs w:val="24"/>
          <w:lang w:val="en-GB"/>
        </w:rPr>
        <w:t xml:space="preserve"> have unrestricted right to work,</w:t>
      </w:r>
      <w:r w:rsidR="002E5030" w:rsidRPr="00100028">
        <w:rPr>
          <w:rStyle w:val="FootnoteReference"/>
          <w:rFonts w:asciiTheme="majorBidi" w:hAnsiTheme="majorBidi" w:cstheme="majorBidi"/>
          <w:sz w:val="24"/>
          <w:szCs w:val="24"/>
          <w:lang w:val="en-GB"/>
        </w:rPr>
        <w:footnoteReference w:id="132"/>
      </w:r>
      <w:r w:rsidR="002E5030" w:rsidRPr="00100028">
        <w:rPr>
          <w:rFonts w:asciiTheme="majorBidi" w:hAnsiTheme="majorBidi" w:cstheme="majorBidi"/>
          <w:sz w:val="24"/>
          <w:szCs w:val="24"/>
          <w:lang w:val="en-GB"/>
        </w:rPr>
        <w:t xml:space="preserve"> </w:t>
      </w:r>
      <w:r w:rsidR="007800F0" w:rsidRPr="00100028">
        <w:rPr>
          <w:rFonts w:asciiTheme="majorBidi" w:hAnsiTheme="majorBidi" w:cstheme="majorBidi"/>
          <w:sz w:val="24"/>
          <w:szCs w:val="24"/>
          <w:lang w:val="en-GB"/>
        </w:rPr>
        <w:t>form political parties and</w:t>
      </w:r>
      <w:r w:rsidR="004D1226" w:rsidRPr="00100028">
        <w:rPr>
          <w:rFonts w:asciiTheme="majorBidi" w:hAnsiTheme="majorBidi" w:cstheme="majorBidi"/>
          <w:sz w:val="24"/>
          <w:szCs w:val="24"/>
          <w:lang w:val="en-GB"/>
        </w:rPr>
        <w:t xml:space="preserve"> establish associations.</w:t>
      </w:r>
      <w:r w:rsidR="007800F0" w:rsidRPr="00100028">
        <w:rPr>
          <w:rStyle w:val="FootnoteReference"/>
          <w:rFonts w:asciiTheme="majorBidi" w:hAnsiTheme="majorBidi" w:cstheme="majorBidi"/>
          <w:sz w:val="24"/>
          <w:szCs w:val="24"/>
          <w:lang w:val="en-GB"/>
        </w:rPr>
        <w:footnoteReference w:id="133"/>
      </w:r>
      <w:r w:rsidR="00F61453" w:rsidRPr="00100028">
        <w:rPr>
          <w:rFonts w:asciiTheme="majorBidi" w:hAnsiTheme="majorBidi" w:cstheme="majorBidi"/>
          <w:sz w:val="24"/>
          <w:szCs w:val="24"/>
          <w:lang w:val="en-GB"/>
        </w:rPr>
        <w:t xml:space="preserve"> The PA</w:t>
      </w:r>
      <w:r w:rsidR="00A52788" w:rsidRPr="00100028">
        <w:rPr>
          <w:rFonts w:asciiTheme="majorBidi" w:hAnsiTheme="majorBidi" w:cstheme="majorBidi"/>
          <w:sz w:val="24"/>
          <w:szCs w:val="24"/>
          <w:lang w:val="en-GB"/>
        </w:rPr>
        <w:t xml:space="preserve"> can, at least in theory, exercise diplomatic protection on behalf of West Bankers </w:t>
      </w:r>
      <w:r w:rsidR="00F61453" w:rsidRPr="00100028">
        <w:rPr>
          <w:rFonts w:asciiTheme="majorBidi" w:hAnsiTheme="majorBidi" w:cstheme="majorBidi"/>
          <w:sz w:val="24"/>
          <w:szCs w:val="24"/>
          <w:lang w:val="en-GB"/>
        </w:rPr>
        <w:t xml:space="preserve">and Gazans </w:t>
      </w:r>
      <w:r w:rsidR="00A52788" w:rsidRPr="00100028">
        <w:rPr>
          <w:rFonts w:asciiTheme="majorBidi" w:hAnsiTheme="majorBidi" w:cstheme="majorBidi"/>
          <w:sz w:val="24"/>
          <w:szCs w:val="24"/>
          <w:lang w:val="en-GB"/>
        </w:rPr>
        <w:t xml:space="preserve">under </w:t>
      </w:r>
      <w:r w:rsidR="00A52788" w:rsidRPr="00100028">
        <w:rPr>
          <w:rFonts w:asciiTheme="majorBidi" w:hAnsiTheme="majorBidi" w:cstheme="majorBidi"/>
          <w:sz w:val="24"/>
          <w:szCs w:val="24"/>
          <w:lang w:val="en-GB"/>
        </w:rPr>
        <w:lastRenderedPageBreak/>
        <w:t>bilateral agreements with host countries through its representative missions abroad.</w:t>
      </w:r>
      <w:r w:rsidR="00BD4ED9" w:rsidRPr="00100028">
        <w:rPr>
          <w:rStyle w:val="FootnoteReference"/>
          <w:rFonts w:asciiTheme="majorBidi" w:hAnsiTheme="majorBidi" w:cstheme="majorBidi"/>
          <w:sz w:val="24"/>
          <w:szCs w:val="24"/>
          <w:lang w:val="en-GB"/>
        </w:rPr>
        <w:footnoteReference w:id="134"/>
      </w:r>
      <w:r w:rsidR="00A52788" w:rsidRPr="00100028">
        <w:rPr>
          <w:rFonts w:asciiTheme="majorBidi" w:hAnsiTheme="majorBidi" w:cstheme="majorBidi"/>
          <w:sz w:val="24"/>
          <w:szCs w:val="24"/>
          <w:lang w:val="en-GB"/>
        </w:rPr>
        <w:t xml:space="preserve"> </w:t>
      </w:r>
      <w:r w:rsidR="001C2973" w:rsidRPr="00100028">
        <w:rPr>
          <w:rFonts w:asciiTheme="majorBidi" w:hAnsiTheme="majorBidi" w:cstheme="majorBidi"/>
          <w:sz w:val="24"/>
          <w:szCs w:val="24"/>
          <w:lang w:val="en-GB"/>
        </w:rPr>
        <w:t>After all, citizenship was envisaged as link between the State and the individual for the purpose of granting rights and establishing obligations,</w:t>
      </w:r>
      <w:r w:rsidR="001C2973" w:rsidRPr="00100028">
        <w:rPr>
          <w:rStyle w:val="FootnoteReference"/>
          <w:rFonts w:asciiTheme="majorBidi" w:hAnsiTheme="majorBidi" w:cstheme="majorBidi"/>
          <w:sz w:val="24"/>
          <w:szCs w:val="24"/>
          <w:lang w:val="en-GB"/>
        </w:rPr>
        <w:footnoteReference w:id="135"/>
      </w:r>
      <w:r w:rsidR="001C2973" w:rsidRPr="00100028">
        <w:rPr>
          <w:rFonts w:asciiTheme="majorBidi" w:hAnsiTheme="majorBidi" w:cstheme="majorBidi"/>
          <w:sz w:val="24"/>
          <w:szCs w:val="24"/>
          <w:lang w:val="en-GB"/>
        </w:rPr>
        <w:t xml:space="preserve"> which is the case here. </w:t>
      </w:r>
      <w:r w:rsidR="00A52788" w:rsidRPr="00100028">
        <w:rPr>
          <w:rFonts w:asciiTheme="majorBidi" w:hAnsiTheme="majorBidi" w:cstheme="majorBidi"/>
          <w:sz w:val="24"/>
          <w:szCs w:val="24"/>
          <w:lang w:val="en-GB"/>
        </w:rPr>
        <w:t>Yet certain citizens</w:t>
      </w:r>
      <w:r w:rsidR="00F130C3" w:rsidRPr="00100028">
        <w:rPr>
          <w:rFonts w:asciiTheme="majorBidi" w:hAnsiTheme="majorBidi" w:cstheme="majorBidi"/>
          <w:sz w:val="24"/>
          <w:szCs w:val="24"/>
          <w:lang w:val="en-GB"/>
        </w:rPr>
        <w:t>’</w:t>
      </w:r>
      <w:r w:rsidR="00A52788" w:rsidRPr="00100028">
        <w:rPr>
          <w:rFonts w:asciiTheme="majorBidi" w:hAnsiTheme="majorBidi" w:cstheme="majorBidi"/>
          <w:sz w:val="24"/>
          <w:szCs w:val="24"/>
          <w:lang w:val="en-GB"/>
        </w:rPr>
        <w:t xml:space="preserve"> rights are still restr</w:t>
      </w:r>
      <w:r w:rsidR="00F61453" w:rsidRPr="00100028">
        <w:rPr>
          <w:rFonts w:asciiTheme="majorBidi" w:hAnsiTheme="majorBidi" w:cstheme="majorBidi"/>
          <w:sz w:val="24"/>
          <w:szCs w:val="24"/>
          <w:lang w:val="en-GB"/>
        </w:rPr>
        <w:t>icted due to the</w:t>
      </w:r>
      <w:r w:rsidR="002E5030" w:rsidRPr="00100028">
        <w:rPr>
          <w:rFonts w:asciiTheme="majorBidi" w:hAnsiTheme="majorBidi" w:cstheme="majorBidi"/>
          <w:sz w:val="24"/>
          <w:szCs w:val="24"/>
          <w:lang w:val="en-GB"/>
        </w:rPr>
        <w:t xml:space="preserve"> occupation, including travel bans</w:t>
      </w:r>
      <w:r w:rsidR="00A52788" w:rsidRPr="00100028">
        <w:rPr>
          <w:rFonts w:asciiTheme="majorBidi" w:hAnsiTheme="majorBidi" w:cstheme="majorBidi"/>
          <w:sz w:val="24"/>
          <w:szCs w:val="24"/>
          <w:lang w:val="en-GB"/>
        </w:rPr>
        <w:t xml:space="preserve"> since I</w:t>
      </w:r>
      <w:r w:rsidR="00BD4ED9" w:rsidRPr="00100028">
        <w:rPr>
          <w:rFonts w:asciiTheme="majorBidi" w:hAnsiTheme="majorBidi" w:cstheme="majorBidi"/>
          <w:sz w:val="24"/>
          <w:szCs w:val="24"/>
          <w:lang w:val="en-GB"/>
        </w:rPr>
        <w:t>srael has retained the ultimate decision on</w:t>
      </w:r>
      <w:r w:rsidR="00A52788" w:rsidRPr="00100028">
        <w:rPr>
          <w:rFonts w:asciiTheme="majorBidi" w:hAnsiTheme="majorBidi" w:cstheme="majorBidi"/>
          <w:sz w:val="24"/>
          <w:szCs w:val="24"/>
          <w:lang w:val="en-GB"/>
        </w:rPr>
        <w:t xml:space="preserve"> departures from the West Bank, restr</w:t>
      </w:r>
      <w:r w:rsidR="000A5F3E" w:rsidRPr="00100028">
        <w:rPr>
          <w:rFonts w:asciiTheme="majorBidi" w:hAnsiTheme="majorBidi" w:cstheme="majorBidi"/>
          <w:sz w:val="24"/>
          <w:szCs w:val="24"/>
          <w:lang w:val="en-GB"/>
        </w:rPr>
        <w:t>ictions on travel within Palestine</w:t>
      </w:r>
      <w:r w:rsidR="00A52788" w:rsidRPr="00100028">
        <w:rPr>
          <w:rFonts w:asciiTheme="majorBidi" w:hAnsiTheme="majorBidi" w:cstheme="majorBidi"/>
          <w:sz w:val="24"/>
          <w:szCs w:val="24"/>
          <w:lang w:val="en-GB"/>
        </w:rPr>
        <w:t xml:space="preserve"> through a system of checkpoints, prohibitions on residency or the building of homes in certain areas, and denial of inhabitants</w:t>
      </w:r>
      <w:r w:rsidR="00F130C3" w:rsidRPr="00100028">
        <w:rPr>
          <w:rFonts w:asciiTheme="majorBidi" w:hAnsiTheme="majorBidi" w:cstheme="majorBidi"/>
          <w:sz w:val="24"/>
          <w:szCs w:val="24"/>
          <w:lang w:val="en-GB"/>
        </w:rPr>
        <w:t>’</w:t>
      </w:r>
      <w:r w:rsidR="00A52788" w:rsidRPr="00100028">
        <w:rPr>
          <w:rFonts w:asciiTheme="majorBidi" w:hAnsiTheme="majorBidi" w:cstheme="majorBidi"/>
          <w:sz w:val="24"/>
          <w:szCs w:val="24"/>
          <w:lang w:val="en-GB"/>
        </w:rPr>
        <w:t xml:space="preserve"> right to bring th</w:t>
      </w:r>
      <w:r w:rsidR="000A5F3E" w:rsidRPr="00100028">
        <w:rPr>
          <w:rFonts w:asciiTheme="majorBidi" w:hAnsiTheme="majorBidi" w:cstheme="majorBidi"/>
          <w:sz w:val="24"/>
          <w:szCs w:val="24"/>
          <w:lang w:val="en-GB"/>
        </w:rPr>
        <w:t>eir foreign spouses into Palestine</w:t>
      </w:r>
      <w:r w:rsidR="00BD4ED9" w:rsidRPr="00100028">
        <w:rPr>
          <w:rFonts w:asciiTheme="majorBidi" w:hAnsiTheme="majorBidi" w:cstheme="majorBidi"/>
          <w:sz w:val="24"/>
          <w:szCs w:val="24"/>
          <w:lang w:val="en-GB"/>
        </w:rPr>
        <w:t>, save to</w:t>
      </w:r>
      <w:r w:rsidR="00A52788" w:rsidRPr="00100028">
        <w:rPr>
          <w:rFonts w:asciiTheme="majorBidi" w:hAnsiTheme="majorBidi" w:cstheme="majorBidi"/>
          <w:sz w:val="24"/>
          <w:szCs w:val="24"/>
          <w:lang w:val="en-GB"/>
        </w:rPr>
        <w:t xml:space="preserve"> exceptional cases</w:t>
      </w:r>
      <w:r w:rsidR="002E5030" w:rsidRPr="00100028">
        <w:rPr>
          <w:rFonts w:asciiTheme="majorBidi" w:hAnsiTheme="majorBidi" w:cstheme="majorBidi"/>
          <w:sz w:val="24"/>
          <w:szCs w:val="24"/>
          <w:lang w:val="en-GB"/>
        </w:rPr>
        <w:t xml:space="preserve"> (above)</w:t>
      </w:r>
      <w:r w:rsidR="00A52788" w:rsidRPr="00100028">
        <w:rPr>
          <w:rFonts w:asciiTheme="majorBidi" w:hAnsiTheme="majorBidi" w:cstheme="majorBidi"/>
          <w:sz w:val="24"/>
          <w:szCs w:val="24"/>
          <w:lang w:val="en-GB"/>
        </w:rPr>
        <w:t>.</w:t>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Cons</w:t>
      </w:r>
      <w:r w:rsidR="00C57940" w:rsidRPr="00100028">
        <w:rPr>
          <w:rFonts w:asciiTheme="majorBidi" w:hAnsiTheme="majorBidi" w:cstheme="majorBidi"/>
          <w:sz w:val="24"/>
          <w:szCs w:val="24"/>
          <w:lang w:val="en-GB"/>
        </w:rPr>
        <w:t>equently, the status of some five-</w:t>
      </w:r>
      <w:r w:rsidRPr="00100028">
        <w:rPr>
          <w:rFonts w:asciiTheme="majorBidi" w:hAnsiTheme="majorBidi" w:cstheme="majorBidi"/>
          <w:sz w:val="24"/>
          <w:szCs w:val="24"/>
          <w:lang w:val="en-GB"/>
        </w:rPr>
        <w:t>million West Bank</w:t>
      </w:r>
      <w:r w:rsidR="00C57940" w:rsidRPr="00100028">
        <w:rPr>
          <w:rFonts w:asciiTheme="majorBidi" w:hAnsiTheme="majorBidi" w:cstheme="majorBidi"/>
          <w:sz w:val="24"/>
          <w:szCs w:val="24"/>
          <w:lang w:val="en-GB"/>
        </w:rPr>
        <w:t>ers</w:t>
      </w:r>
      <w:r w:rsidRPr="00100028">
        <w:rPr>
          <w:rFonts w:asciiTheme="majorBidi" w:hAnsiTheme="majorBidi" w:cstheme="majorBidi"/>
          <w:sz w:val="24"/>
          <w:szCs w:val="24"/>
          <w:lang w:val="en-GB"/>
        </w:rPr>
        <w:t xml:space="preserve"> and Gaza</w:t>
      </w:r>
      <w:r w:rsidR="00C57940" w:rsidRPr="00100028">
        <w:rPr>
          <w:rFonts w:asciiTheme="majorBidi" w:hAnsiTheme="majorBidi" w:cstheme="majorBidi"/>
          <w:sz w:val="24"/>
          <w:szCs w:val="24"/>
          <w:lang w:val="en-GB"/>
        </w:rPr>
        <w:t xml:space="preserve">ns </w:t>
      </w:r>
      <w:r w:rsidRPr="00100028">
        <w:rPr>
          <w:rFonts w:asciiTheme="majorBidi" w:hAnsiTheme="majorBidi" w:cstheme="majorBidi"/>
          <w:sz w:val="24"/>
          <w:szCs w:val="24"/>
          <w:lang w:val="en-GB"/>
        </w:rPr>
        <w:t xml:space="preserve">is close, albeit not identical, to the status of citizens belonging to sovereign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 xml:space="preserve">s. There is, so to speak, de facto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West Bank citizenship</w:t>
      </w:r>
      <w:r w:rsidR="007D0218"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 xml:space="preserve"> and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Gaza citizenship</w:t>
      </w:r>
      <w:r w:rsidR="007D0218"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 xml:space="preserve">. This citizenship </w:t>
      </w:r>
      <w:r w:rsidR="00BD4ED9" w:rsidRPr="00100028">
        <w:rPr>
          <w:rFonts w:asciiTheme="majorBidi" w:hAnsiTheme="majorBidi" w:cstheme="majorBidi"/>
          <w:sz w:val="24"/>
          <w:szCs w:val="24"/>
          <w:lang w:val="en-GB"/>
        </w:rPr>
        <w:t>is in certain features assimilate</w:t>
      </w:r>
      <w:r w:rsidR="00C57940" w:rsidRPr="00100028">
        <w:rPr>
          <w:rFonts w:asciiTheme="majorBidi" w:hAnsiTheme="majorBidi" w:cstheme="majorBidi"/>
          <w:sz w:val="24"/>
          <w:szCs w:val="24"/>
          <w:lang w:val="en-GB"/>
        </w:rPr>
        <w:t xml:space="preserve"> ordinary citizenship of other </w:t>
      </w:r>
      <w:r w:rsidR="00FE2B16" w:rsidRPr="00100028">
        <w:rPr>
          <w:rFonts w:asciiTheme="majorBidi" w:hAnsiTheme="majorBidi" w:cstheme="majorBidi"/>
          <w:sz w:val="24"/>
          <w:szCs w:val="24"/>
          <w:lang w:val="en-GB"/>
        </w:rPr>
        <w:t>State</w:t>
      </w:r>
      <w:r w:rsidR="00C57940" w:rsidRPr="00100028">
        <w:rPr>
          <w:rFonts w:asciiTheme="majorBidi" w:hAnsiTheme="majorBidi" w:cstheme="majorBidi"/>
          <w:sz w:val="24"/>
          <w:szCs w:val="24"/>
          <w:lang w:val="en-GB"/>
        </w:rPr>
        <w:t>s</w:t>
      </w:r>
      <w:r w:rsidRPr="00100028">
        <w:rPr>
          <w:rFonts w:asciiTheme="majorBidi" w:hAnsiTheme="majorBidi" w:cstheme="majorBidi"/>
          <w:sz w:val="24"/>
          <w:szCs w:val="24"/>
          <w:lang w:val="en-GB"/>
        </w:rPr>
        <w:t>.</w:t>
      </w:r>
      <w:r w:rsidR="00181AE0" w:rsidRPr="00100028">
        <w:rPr>
          <w:rStyle w:val="FootnoteReference"/>
          <w:rFonts w:asciiTheme="majorBidi" w:hAnsiTheme="majorBidi" w:cstheme="majorBidi"/>
          <w:sz w:val="24"/>
          <w:szCs w:val="24"/>
          <w:lang w:val="en-GB"/>
        </w:rPr>
        <w:footnoteReference w:id="136"/>
      </w:r>
      <w:r w:rsidRPr="00100028">
        <w:rPr>
          <w:rFonts w:asciiTheme="majorBidi" w:hAnsiTheme="majorBidi" w:cstheme="majorBidi"/>
          <w:sz w:val="24"/>
          <w:szCs w:val="24"/>
          <w:lang w:val="en-GB"/>
        </w:rPr>
        <w:t xml:space="preserve"> It can b</w:t>
      </w:r>
      <w:r w:rsidR="00C57940" w:rsidRPr="00100028">
        <w:rPr>
          <w:rFonts w:asciiTheme="majorBidi" w:hAnsiTheme="majorBidi" w:cstheme="majorBidi"/>
          <w:sz w:val="24"/>
          <w:szCs w:val="24"/>
          <w:lang w:val="en-GB"/>
        </w:rPr>
        <w:t>e regarded as full citizenship</w:t>
      </w:r>
      <w:r w:rsidRPr="00100028">
        <w:rPr>
          <w:rFonts w:asciiTheme="majorBidi" w:hAnsiTheme="majorBidi" w:cstheme="majorBidi"/>
          <w:sz w:val="24"/>
          <w:szCs w:val="24"/>
          <w:lang w:val="en-GB"/>
        </w:rPr>
        <w:t xml:space="preserve"> for certain purposes at the loc</w:t>
      </w:r>
      <w:r w:rsidR="00C57940" w:rsidRPr="00100028">
        <w:rPr>
          <w:rFonts w:asciiTheme="majorBidi" w:hAnsiTheme="majorBidi" w:cstheme="majorBidi"/>
          <w:sz w:val="24"/>
          <w:szCs w:val="24"/>
          <w:lang w:val="en-GB"/>
        </w:rPr>
        <w:t>a</w:t>
      </w:r>
      <w:r w:rsidR="00BD4ED9" w:rsidRPr="00100028">
        <w:rPr>
          <w:rFonts w:asciiTheme="majorBidi" w:hAnsiTheme="majorBidi" w:cstheme="majorBidi"/>
          <w:sz w:val="24"/>
          <w:szCs w:val="24"/>
          <w:lang w:val="en-GB"/>
        </w:rPr>
        <w:t>l level, including</w:t>
      </w:r>
      <w:r w:rsidRPr="00100028">
        <w:rPr>
          <w:rFonts w:asciiTheme="majorBidi" w:hAnsiTheme="majorBidi" w:cstheme="majorBidi"/>
          <w:sz w:val="24"/>
          <w:szCs w:val="24"/>
          <w:lang w:val="en-GB"/>
        </w:rPr>
        <w:t xml:space="preserve"> residency, el</w:t>
      </w:r>
      <w:r w:rsidR="00BD4ED9" w:rsidRPr="00100028">
        <w:rPr>
          <w:rFonts w:asciiTheme="majorBidi" w:hAnsiTheme="majorBidi" w:cstheme="majorBidi"/>
          <w:sz w:val="24"/>
          <w:szCs w:val="24"/>
          <w:lang w:val="en-GB"/>
        </w:rPr>
        <w:t>ection, employment</w:t>
      </w:r>
      <w:r w:rsidRPr="00100028">
        <w:rPr>
          <w:rFonts w:asciiTheme="majorBidi" w:hAnsiTheme="majorBidi" w:cstheme="majorBidi"/>
          <w:sz w:val="24"/>
          <w:szCs w:val="24"/>
          <w:lang w:val="en-GB"/>
        </w:rPr>
        <w:t>, and travelling abroad</w:t>
      </w:r>
      <w:r w:rsidR="002E5030" w:rsidRPr="00100028">
        <w:rPr>
          <w:rFonts w:asciiTheme="majorBidi" w:hAnsiTheme="majorBidi" w:cstheme="majorBidi"/>
          <w:sz w:val="24"/>
          <w:szCs w:val="24"/>
          <w:lang w:val="en-GB"/>
        </w:rPr>
        <w:t xml:space="preserve"> and re-admission</w:t>
      </w:r>
      <w:r w:rsidR="008A0178" w:rsidRPr="00100028">
        <w:rPr>
          <w:rFonts w:asciiTheme="majorBidi" w:hAnsiTheme="majorBidi" w:cstheme="majorBidi"/>
          <w:sz w:val="24"/>
          <w:szCs w:val="24"/>
          <w:lang w:val="en-GB"/>
        </w:rPr>
        <w:t>. Palestine</w:t>
      </w:r>
      <w:r w:rsidRPr="00100028">
        <w:rPr>
          <w:rFonts w:asciiTheme="majorBidi" w:hAnsiTheme="majorBidi" w:cstheme="majorBidi"/>
          <w:sz w:val="24"/>
          <w:szCs w:val="24"/>
          <w:lang w:val="en-GB"/>
        </w:rPr>
        <w:t xml:space="preserve"> inhabitants may also be considered by other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 xml:space="preserve">s and by international </w:t>
      </w:r>
      <w:r w:rsidR="008A0178" w:rsidRPr="00100028">
        <w:rPr>
          <w:rFonts w:asciiTheme="majorBidi" w:hAnsiTheme="majorBidi" w:cstheme="majorBidi"/>
          <w:sz w:val="24"/>
          <w:szCs w:val="24"/>
          <w:lang w:val="en-GB"/>
        </w:rPr>
        <w:t>organizations as citizens of Palestine</w:t>
      </w:r>
      <w:r w:rsidRPr="00100028">
        <w:rPr>
          <w:rFonts w:asciiTheme="majorBidi" w:hAnsiTheme="majorBidi" w:cstheme="majorBidi"/>
          <w:sz w:val="24"/>
          <w:szCs w:val="24"/>
          <w:lang w:val="en-GB"/>
        </w:rPr>
        <w:t xml:space="preserve"> for various legal purposes, for instance in cases involving </w:t>
      </w:r>
      <w:r w:rsidR="00F8174D" w:rsidRPr="00100028">
        <w:rPr>
          <w:rFonts w:asciiTheme="majorBidi" w:hAnsiTheme="majorBidi" w:cstheme="majorBidi"/>
          <w:sz w:val="24"/>
          <w:szCs w:val="24"/>
          <w:lang w:val="en-GB"/>
        </w:rPr>
        <w:t>private international law disputes</w:t>
      </w:r>
      <w:r w:rsidRPr="00100028">
        <w:rPr>
          <w:rFonts w:asciiTheme="majorBidi" w:hAnsiTheme="majorBidi" w:cstheme="majorBidi"/>
          <w:sz w:val="24"/>
          <w:szCs w:val="24"/>
          <w:lang w:val="en-GB"/>
        </w:rPr>
        <w:t>,</w:t>
      </w:r>
      <w:r w:rsidR="008A0178" w:rsidRPr="00100028">
        <w:rPr>
          <w:rStyle w:val="FootnoteReference"/>
          <w:rFonts w:asciiTheme="majorBidi" w:hAnsiTheme="majorBidi" w:cstheme="majorBidi"/>
          <w:sz w:val="24"/>
          <w:szCs w:val="24"/>
          <w:lang w:val="en-GB"/>
        </w:rPr>
        <w:footnoteReference w:id="137"/>
      </w:r>
      <w:r w:rsidRPr="00100028">
        <w:rPr>
          <w:rFonts w:asciiTheme="majorBidi" w:hAnsiTheme="majorBidi" w:cstheme="majorBidi"/>
          <w:sz w:val="24"/>
          <w:szCs w:val="24"/>
          <w:lang w:val="en-GB"/>
        </w:rPr>
        <w:t xml:space="preserve"> refugee status </w:t>
      </w:r>
      <w:r w:rsidR="00C57940" w:rsidRPr="00100028">
        <w:rPr>
          <w:rFonts w:asciiTheme="majorBidi" w:hAnsiTheme="majorBidi" w:cstheme="majorBidi"/>
          <w:sz w:val="24"/>
          <w:szCs w:val="24"/>
          <w:lang w:val="en-GB"/>
        </w:rPr>
        <w:t>de</w:t>
      </w:r>
      <w:r w:rsidRPr="00100028">
        <w:rPr>
          <w:rFonts w:asciiTheme="majorBidi" w:hAnsiTheme="majorBidi" w:cstheme="majorBidi"/>
          <w:sz w:val="24"/>
          <w:szCs w:val="24"/>
          <w:lang w:val="en-GB"/>
        </w:rPr>
        <w:t xml:space="preserve">termination (including </w:t>
      </w:r>
      <w:r w:rsidRPr="00100028">
        <w:rPr>
          <w:rFonts w:asciiTheme="majorBidi" w:hAnsiTheme="majorBidi" w:cstheme="majorBidi"/>
          <w:i/>
          <w:iCs/>
          <w:sz w:val="24"/>
          <w:szCs w:val="24"/>
          <w:lang w:val="en-GB"/>
        </w:rPr>
        <w:t>non</w:t>
      </w:r>
      <w:r w:rsidRPr="00100028">
        <w:rPr>
          <w:rStyle w:val="Emphasis"/>
          <w:rFonts w:asciiTheme="majorBidi" w:hAnsiTheme="majorBidi" w:cstheme="majorBidi"/>
          <w:color w:val="000000"/>
          <w:sz w:val="24"/>
          <w:szCs w:val="24"/>
          <w:lang w:val="en-GB"/>
        </w:rPr>
        <w:t>-</w:t>
      </w:r>
      <w:proofErr w:type="spellStart"/>
      <w:r w:rsidRPr="00100028">
        <w:rPr>
          <w:rStyle w:val="Emphasis"/>
          <w:rFonts w:asciiTheme="majorBidi" w:hAnsiTheme="majorBidi" w:cstheme="majorBidi"/>
          <w:color w:val="000000"/>
          <w:sz w:val="24"/>
          <w:szCs w:val="24"/>
          <w:lang w:val="en-GB"/>
        </w:rPr>
        <w:t>refoulement</w:t>
      </w:r>
      <w:proofErr w:type="spellEnd"/>
      <w:r w:rsidRPr="00100028">
        <w:rPr>
          <w:rFonts w:asciiTheme="majorBidi" w:hAnsiTheme="majorBidi" w:cstheme="majorBidi"/>
          <w:sz w:val="24"/>
          <w:szCs w:val="24"/>
          <w:lang w:val="en-GB"/>
        </w:rPr>
        <w:t xml:space="preserve"> to Isr</w:t>
      </w:r>
      <w:r w:rsidR="00C57940" w:rsidRPr="00100028">
        <w:rPr>
          <w:rFonts w:asciiTheme="majorBidi" w:hAnsiTheme="majorBidi" w:cstheme="majorBidi"/>
          <w:sz w:val="24"/>
          <w:szCs w:val="24"/>
          <w:lang w:val="en-GB"/>
        </w:rPr>
        <w:t>ael or the PA</w:t>
      </w:r>
      <w:r w:rsidR="008A0178" w:rsidRPr="00100028">
        <w:rPr>
          <w:rFonts w:asciiTheme="majorBidi" w:hAnsiTheme="majorBidi" w:cstheme="majorBidi"/>
          <w:sz w:val="24"/>
          <w:szCs w:val="24"/>
          <w:lang w:val="en-GB"/>
        </w:rPr>
        <w:t>),</w:t>
      </w:r>
      <w:r w:rsidR="008A0178" w:rsidRPr="00100028">
        <w:rPr>
          <w:rStyle w:val="FootnoteReference"/>
          <w:rFonts w:asciiTheme="majorBidi" w:hAnsiTheme="majorBidi" w:cstheme="majorBidi"/>
          <w:sz w:val="24"/>
          <w:szCs w:val="24"/>
          <w:lang w:val="en-GB"/>
        </w:rPr>
        <w:footnoteReference w:id="138"/>
      </w:r>
      <w:r w:rsidRPr="00100028">
        <w:rPr>
          <w:rFonts w:asciiTheme="majorBidi" w:hAnsiTheme="majorBidi" w:cstheme="majorBidi"/>
          <w:sz w:val="24"/>
          <w:szCs w:val="24"/>
          <w:lang w:val="en-GB"/>
        </w:rPr>
        <w:t xml:space="preserve"> </w:t>
      </w:r>
      <w:r w:rsidR="002E5030" w:rsidRPr="00100028">
        <w:rPr>
          <w:rFonts w:asciiTheme="majorBidi" w:hAnsiTheme="majorBidi" w:cstheme="majorBidi"/>
          <w:sz w:val="24"/>
          <w:szCs w:val="24"/>
          <w:lang w:val="en-GB"/>
        </w:rPr>
        <w:t>be prosecuted by the ICC over the commission of war crimes or crimes against humanity based on the Rome Statute</w:t>
      </w:r>
      <w:r w:rsidR="00DE6991" w:rsidRPr="00100028">
        <w:rPr>
          <w:rFonts w:asciiTheme="majorBidi" w:hAnsiTheme="majorBidi" w:cstheme="majorBidi"/>
          <w:sz w:val="24"/>
          <w:szCs w:val="24"/>
          <w:lang w:val="en-GB"/>
        </w:rPr>
        <w:t xml:space="preserve"> on the International Criminal Court of 17 July 1998</w:t>
      </w:r>
      <w:r w:rsidR="002E5030" w:rsidRPr="00100028">
        <w:rPr>
          <w:rFonts w:asciiTheme="majorBidi" w:hAnsiTheme="majorBidi" w:cstheme="majorBidi"/>
          <w:sz w:val="24"/>
          <w:szCs w:val="24"/>
          <w:lang w:val="en-GB"/>
        </w:rPr>
        <w:t>,</w:t>
      </w:r>
      <w:r w:rsidR="008A0178" w:rsidRPr="00100028">
        <w:rPr>
          <w:rStyle w:val="FootnoteReference"/>
          <w:rFonts w:asciiTheme="majorBidi" w:hAnsiTheme="majorBidi" w:cstheme="majorBidi"/>
          <w:sz w:val="24"/>
          <w:szCs w:val="24"/>
          <w:lang w:val="en-GB"/>
        </w:rPr>
        <w:footnoteReference w:id="139"/>
      </w:r>
      <w:r w:rsidR="002E5030" w:rsidRPr="00100028">
        <w:rPr>
          <w:rFonts w:asciiTheme="majorBidi" w:hAnsiTheme="majorBidi" w:cstheme="majorBidi"/>
          <w:sz w:val="24"/>
          <w:szCs w:val="24"/>
          <w:lang w:val="en-GB"/>
        </w:rPr>
        <w:t xml:space="preserve"> </w:t>
      </w:r>
      <w:r w:rsidRPr="00100028">
        <w:rPr>
          <w:rFonts w:asciiTheme="majorBidi" w:hAnsiTheme="majorBidi" w:cstheme="majorBidi"/>
          <w:sz w:val="24"/>
          <w:szCs w:val="24"/>
          <w:lang w:val="en-GB"/>
        </w:rPr>
        <w:t xml:space="preserve">and </w:t>
      </w:r>
      <w:r w:rsidR="008A0178" w:rsidRPr="00100028">
        <w:rPr>
          <w:rFonts w:asciiTheme="majorBidi" w:hAnsiTheme="majorBidi" w:cstheme="majorBidi"/>
          <w:sz w:val="24"/>
          <w:szCs w:val="24"/>
          <w:lang w:val="en-GB"/>
        </w:rPr>
        <w:t>being elected or appointed as</w:t>
      </w:r>
      <w:r w:rsidR="002E5030" w:rsidRPr="00100028">
        <w:rPr>
          <w:rFonts w:asciiTheme="majorBidi" w:hAnsiTheme="majorBidi" w:cstheme="majorBidi"/>
          <w:sz w:val="24"/>
          <w:szCs w:val="24"/>
          <w:lang w:val="en-GB"/>
        </w:rPr>
        <w:t xml:space="preserve"> member</w:t>
      </w:r>
      <w:r w:rsidR="008A0178" w:rsidRPr="00100028">
        <w:rPr>
          <w:rFonts w:asciiTheme="majorBidi" w:hAnsiTheme="majorBidi" w:cstheme="majorBidi"/>
          <w:sz w:val="24"/>
          <w:szCs w:val="24"/>
          <w:lang w:val="en-GB"/>
        </w:rPr>
        <w:t>/experts</w:t>
      </w:r>
      <w:r w:rsidR="002E5030" w:rsidRPr="00100028">
        <w:rPr>
          <w:rFonts w:asciiTheme="majorBidi" w:hAnsiTheme="majorBidi" w:cstheme="majorBidi"/>
          <w:sz w:val="24"/>
          <w:szCs w:val="24"/>
          <w:lang w:val="en-GB"/>
        </w:rPr>
        <w:t xml:space="preserve"> representatives or staff of</w:t>
      </w:r>
      <w:r w:rsidRPr="00100028">
        <w:rPr>
          <w:rFonts w:asciiTheme="majorBidi" w:hAnsiTheme="majorBidi" w:cstheme="majorBidi"/>
          <w:sz w:val="24"/>
          <w:szCs w:val="24"/>
          <w:lang w:val="en-GB"/>
        </w:rPr>
        <w:t xml:space="preserve"> international or regional organizations.</w:t>
      </w:r>
      <w:r w:rsidR="008A0178" w:rsidRPr="00100028">
        <w:rPr>
          <w:rStyle w:val="FootnoteReference"/>
          <w:rFonts w:asciiTheme="majorBidi" w:hAnsiTheme="majorBidi" w:cstheme="majorBidi"/>
          <w:sz w:val="24"/>
          <w:szCs w:val="24"/>
          <w:lang w:val="en-GB"/>
        </w:rPr>
        <w:footnoteReference w:id="140"/>
      </w:r>
      <w:r w:rsidRPr="00100028">
        <w:rPr>
          <w:rFonts w:asciiTheme="majorBidi" w:hAnsiTheme="majorBidi" w:cstheme="majorBidi"/>
          <w:sz w:val="24"/>
          <w:szCs w:val="24"/>
          <w:lang w:val="en-GB"/>
        </w:rPr>
        <w:t xml:space="preserve"> However, certain legal effects do not ensue from su</w:t>
      </w:r>
      <w:r w:rsidR="00C57940" w:rsidRPr="00100028">
        <w:rPr>
          <w:rFonts w:asciiTheme="majorBidi" w:hAnsiTheme="majorBidi" w:cstheme="majorBidi"/>
          <w:sz w:val="24"/>
          <w:szCs w:val="24"/>
          <w:lang w:val="en-GB"/>
        </w:rPr>
        <w:t>ch West Bank or Gaza citizenship</w:t>
      </w:r>
      <w:r w:rsidRPr="00100028">
        <w:rPr>
          <w:rFonts w:asciiTheme="majorBidi" w:hAnsiTheme="majorBidi" w:cstheme="majorBidi"/>
          <w:sz w:val="24"/>
          <w:szCs w:val="24"/>
          <w:lang w:val="en-GB"/>
        </w:rPr>
        <w:t>, such as the p</w:t>
      </w:r>
      <w:r w:rsidR="008A0178" w:rsidRPr="00100028">
        <w:rPr>
          <w:rFonts w:asciiTheme="majorBidi" w:hAnsiTheme="majorBidi" w:cstheme="majorBidi"/>
          <w:sz w:val="24"/>
          <w:szCs w:val="24"/>
          <w:lang w:val="en-GB"/>
        </w:rPr>
        <w:t>ossibility of extradition of</w:t>
      </w:r>
      <w:r w:rsidRPr="00100028">
        <w:rPr>
          <w:rFonts w:asciiTheme="majorBidi" w:hAnsiTheme="majorBidi" w:cstheme="majorBidi"/>
          <w:sz w:val="24"/>
          <w:szCs w:val="24"/>
          <w:lang w:val="en-GB"/>
        </w:rPr>
        <w:t xml:space="preserve"> </w:t>
      </w:r>
      <w:r w:rsidR="008A0178" w:rsidRPr="00100028">
        <w:rPr>
          <w:rFonts w:asciiTheme="majorBidi" w:hAnsiTheme="majorBidi" w:cstheme="majorBidi"/>
          <w:sz w:val="24"/>
          <w:szCs w:val="24"/>
          <w:lang w:val="en-GB"/>
        </w:rPr>
        <w:t>inhabitants</w:t>
      </w:r>
      <w:r w:rsidRPr="00100028">
        <w:rPr>
          <w:rFonts w:asciiTheme="majorBidi" w:hAnsiTheme="majorBidi" w:cstheme="majorBidi"/>
          <w:sz w:val="24"/>
          <w:szCs w:val="24"/>
          <w:lang w:val="en-GB"/>
        </w:rPr>
        <w:t xml:space="preserve"> to other </w:t>
      </w:r>
      <w:r w:rsidR="00FE2B16" w:rsidRPr="00100028">
        <w:rPr>
          <w:rFonts w:asciiTheme="majorBidi" w:hAnsiTheme="majorBidi" w:cstheme="majorBidi"/>
          <w:sz w:val="24"/>
          <w:szCs w:val="24"/>
          <w:lang w:val="en-GB"/>
        </w:rPr>
        <w:t>State</w:t>
      </w:r>
      <w:r w:rsidR="008A0178" w:rsidRPr="00100028">
        <w:rPr>
          <w:rFonts w:asciiTheme="majorBidi" w:hAnsiTheme="majorBidi" w:cstheme="majorBidi"/>
          <w:sz w:val="24"/>
          <w:szCs w:val="24"/>
          <w:lang w:val="en-GB"/>
        </w:rPr>
        <w:t>s or their repatriation to Palestine</w:t>
      </w:r>
      <w:r w:rsidR="00C57940" w:rsidRPr="00100028">
        <w:rPr>
          <w:rFonts w:asciiTheme="majorBidi" w:hAnsiTheme="majorBidi" w:cstheme="majorBidi"/>
          <w:sz w:val="24"/>
          <w:szCs w:val="24"/>
          <w:lang w:val="en-GB"/>
        </w:rPr>
        <w:t xml:space="preserve"> </w:t>
      </w:r>
      <w:r w:rsidR="00C57940" w:rsidRPr="00100028">
        <w:rPr>
          <w:rFonts w:asciiTheme="majorBidi" w:hAnsiTheme="majorBidi" w:cstheme="majorBidi"/>
          <w:sz w:val="24"/>
          <w:szCs w:val="24"/>
          <w:lang w:val="en-GB"/>
        </w:rPr>
        <w:lastRenderedPageBreak/>
        <w:t>by the PA</w:t>
      </w:r>
      <w:r w:rsidRPr="00100028">
        <w:rPr>
          <w:rFonts w:asciiTheme="majorBidi" w:hAnsiTheme="majorBidi" w:cstheme="majorBidi"/>
          <w:sz w:val="24"/>
          <w:szCs w:val="24"/>
          <w:lang w:val="en-GB"/>
        </w:rPr>
        <w:t xml:space="preserve"> if necessary,</w:t>
      </w:r>
      <w:r w:rsidR="00181AE0" w:rsidRPr="00100028">
        <w:rPr>
          <w:rStyle w:val="FootnoteReference"/>
          <w:rFonts w:asciiTheme="majorBidi" w:hAnsiTheme="majorBidi" w:cstheme="majorBidi"/>
          <w:sz w:val="24"/>
          <w:szCs w:val="24"/>
          <w:lang w:val="en-GB"/>
        </w:rPr>
        <w:footnoteReference w:id="141"/>
      </w:r>
      <w:r w:rsidRPr="00100028">
        <w:rPr>
          <w:rFonts w:asciiTheme="majorBidi" w:hAnsiTheme="majorBidi" w:cstheme="majorBidi"/>
          <w:sz w:val="24"/>
          <w:szCs w:val="24"/>
          <w:lang w:val="en-GB"/>
        </w:rPr>
        <w:t xml:space="preserve"> the freedom of citizens to import or export goods without Israel</w:t>
      </w:r>
      <w:r w:rsidR="00F130C3"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s permission,</w:t>
      </w:r>
      <w:r w:rsidR="00181AE0" w:rsidRPr="00100028">
        <w:rPr>
          <w:rStyle w:val="FootnoteReference"/>
          <w:rFonts w:asciiTheme="majorBidi" w:hAnsiTheme="majorBidi" w:cstheme="majorBidi"/>
          <w:sz w:val="24"/>
          <w:szCs w:val="24"/>
          <w:lang w:val="en-GB"/>
        </w:rPr>
        <w:footnoteReference w:id="142"/>
      </w:r>
      <w:r w:rsidR="008A0178" w:rsidRPr="00100028">
        <w:rPr>
          <w:rFonts w:asciiTheme="majorBidi" w:hAnsiTheme="majorBidi" w:cstheme="majorBidi"/>
          <w:sz w:val="24"/>
          <w:szCs w:val="24"/>
          <w:lang w:val="en-GB"/>
        </w:rPr>
        <w:t xml:space="preserve"> and</w:t>
      </w:r>
      <w:r w:rsidRPr="00100028">
        <w:rPr>
          <w:rFonts w:asciiTheme="majorBidi" w:hAnsiTheme="majorBidi" w:cstheme="majorBidi"/>
          <w:sz w:val="24"/>
          <w:szCs w:val="24"/>
          <w:lang w:val="en-GB"/>
        </w:rPr>
        <w:t xml:space="preserve"> freedom to tr</w:t>
      </w:r>
      <w:r w:rsidR="00BD4ED9" w:rsidRPr="00100028">
        <w:rPr>
          <w:rFonts w:asciiTheme="majorBidi" w:hAnsiTheme="majorBidi" w:cstheme="majorBidi"/>
          <w:sz w:val="24"/>
          <w:szCs w:val="24"/>
          <w:lang w:val="en-GB"/>
        </w:rPr>
        <w:t>avel abroad without Israeli control</w:t>
      </w:r>
      <w:r w:rsidRPr="00100028">
        <w:rPr>
          <w:rFonts w:asciiTheme="majorBidi" w:hAnsiTheme="majorBidi" w:cstheme="majorBidi"/>
          <w:sz w:val="24"/>
          <w:szCs w:val="24"/>
          <w:lang w:val="en-GB"/>
        </w:rPr>
        <w:t>.</w:t>
      </w:r>
    </w:p>
    <w:p w:rsidR="00A52788" w:rsidRPr="00100028" w:rsidRDefault="00A52788" w:rsidP="00100028">
      <w:pPr>
        <w:bidi w:val="0"/>
        <w:jc w:val="both"/>
        <w:rPr>
          <w:rFonts w:asciiTheme="majorBidi" w:hAnsiTheme="majorBidi" w:cstheme="majorBidi"/>
          <w:b/>
          <w:bCs/>
          <w:sz w:val="24"/>
          <w:szCs w:val="24"/>
          <w:lang w:val="en-GB"/>
        </w:rPr>
      </w:pPr>
      <w:r w:rsidRPr="00100028">
        <w:rPr>
          <w:rFonts w:asciiTheme="majorBidi" w:hAnsiTheme="majorBidi" w:cstheme="majorBidi"/>
          <w:sz w:val="24"/>
          <w:szCs w:val="24"/>
          <w:lang w:val="en-GB"/>
        </w:rPr>
        <w:t xml:space="preserve"> </w:t>
      </w:r>
    </w:p>
    <w:p w:rsidR="00A52788" w:rsidRPr="00100028" w:rsidRDefault="00C57940" w:rsidP="00100028">
      <w:pPr>
        <w:autoSpaceDE w:val="0"/>
        <w:autoSpaceDN w:val="0"/>
        <w:bidi w:val="0"/>
        <w:adjustRightInd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In the future citizenship</w:t>
      </w:r>
      <w:r w:rsidR="00A52788" w:rsidRPr="00100028">
        <w:rPr>
          <w:rFonts w:asciiTheme="majorBidi" w:hAnsiTheme="majorBidi" w:cstheme="majorBidi"/>
          <w:sz w:val="24"/>
          <w:szCs w:val="24"/>
          <w:lang w:val="en-GB"/>
        </w:rPr>
        <w:t xml:space="preserve"> law of the </w:t>
      </w:r>
      <w:r w:rsidR="00FE2B16" w:rsidRPr="00100028">
        <w:rPr>
          <w:rFonts w:asciiTheme="majorBidi" w:hAnsiTheme="majorBidi" w:cstheme="majorBidi"/>
          <w:sz w:val="24"/>
          <w:szCs w:val="24"/>
          <w:lang w:val="en-GB"/>
        </w:rPr>
        <w:t>State</w:t>
      </w:r>
      <w:r w:rsidR="00A52788" w:rsidRPr="00100028">
        <w:rPr>
          <w:rFonts w:asciiTheme="majorBidi" w:hAnsiTheme="majorBidi" w:cstheme="majorBidi"/>
          <w:sz w:val="24"/>
          <w:szCs w:val="24"/>
          <w:lang w:val="en-GB"/>
        </w:rPr>
        <w:t xml:space="preserve"> of Palestine, the inhabitan</w:t>
      </w:r>
      <w:r w:rsidRPr="00100028">
        <w:rPr>
          <w:rFonts w:asciiTheme="majorBidi" w:hAnsiTheme="majorBidi" w:cstheme="majorBidi"/>
          <w:sz w:val="24"/>
          <w:szCs w:val="24"/>
          <w:lang w:val="en-GB"/>
        </w:rPr>
        <w:t>ts of the West Bank and Gaza</w:t>
      </w:r>
      <w:r w:rsidR="00A52788" w:rsidRPr="00100028">
        <w:rPr>
          <w:rFonts w:asciiTheme="majorBidi" w:hAnsiTheme="majorBidi" w:cstheme="majorBidi"/>
          <w:sz w:val="24"/>
          <w:szCs w:val="24"/>
          <w:lang w:val="en-GB"/>
        </w:rPr>
        <w:t xml:space="preserve"> should be collectively</w:t>
      </w:r>
      <w:r w:rsidRPr="00100028">
        <w:rPr>
          <w:rFonts w:asciiTheme="majorBidi" w:hAnsiTheme="majorBidi" w:cstheme="majorBidi"/>
          <w:sz w:val="24"/>
          <w:szCs w:val="24"/>
          <w:lang w:val="en-GB"/>
        </w:rPr>
        <w:t xml:space="preserve"> granted Palestinian citizenship</w:t>
      </w:r>
      <w:r w:rsidR="00A52788" w:rsidRPr="00100028">
        <w:rPr>
          <w:rFonts w:asciiTheme="majorBidi" w:hAnsiTheme="majorBidi" w:cstheme="majorBidi"/>
          <w:sz w:val="24"/>
          <w:szCs w:val="24"/>
          <w:lang w:val="en-GB"/>
        </w:rPr>
        <w:t xml:space="preserve"> with automatic effect by the operation of law, or </w:t>
      </w:r>
      <w:r w:rsidR="00A52788" w:rsidRPr="00100028">
        <w:rPr>
          <w:rFonts w:asciiTheme="majorBidi" w:hAnsiTheme="majorBidi" w:cstheme="majorBidi"/>
          <w:i/>
          <w:iCs/>
          <w:sz w:val="24"/>
          <w:szCs w:val="24"/>
          <w:lang w:val="en-GB"/>
        </w:rPr>
        <w:t>ipso facto</w:t>
      </w:r>
      <w:r w:rsidRPr="00100028">
        <w:rPr>
          <w:rFonts w:asciiTheme="majorBidi" w:hAnsiTheme="majorBidi" w:cstheme="majorBidi"/>
          <w:sz w:val="24"/>
          <w:szCs w:val="24"/>
          <w:lang w:val="en-GB"/>
        </w:rPr>
        <w:t>.</w:t>
      </w:r>
      <w:r w:rsidR="00A52788" w:rsidRPr="00100028">
        <w:rPr>
          <w:rFonts w:asciiTheme="majorBidi" w:hAnsiTheme="majorBidi" w:cstheme="majorBidi"/>
          <w:sz w:val="24"/>
          <w:szCs w:val="24"/>
          <w:lang w:val="en-GB"/>
        </w:rPr>
        <w:t xml:space="preserve"> Palestine is under an international legal obl</w:t>
      </w:r>
      <w:r w:rsidRPr="00100028">
        <w:rPr>
          <w:rFonts w:asciiTheme="majorBidi" w:hAnsiTheme="majorBidi" w:cstheme="majorBidi"/>
          <w:sz w:val="24"/>
          <w:szCs w:val="24"/>
          <w:lang w:val="en-GB"/>
        </w:rPr>
        <w:t>igation to grant its citizenship</w:t>
      </w:r>
      <w:r w:rsidR="00A52788" w:rsidRPr="00100028">
        <w:rPr>
          <w:rFonts w:asciiTheme="majorBidi" w:hAnsiTheme="majorBidi" w:cstheme="majorBidi"/>
          <w:sz w:val="24"/>
          <w:szCs w:val="24"/>
          <w:lang w:val="en-GB"/>
        </w:rPr>
        <w:t xml:space="preserve"> </w:t>
      </w:r>
      <w:r w:rsidR="00A52788" w:rsidRPr="00100028">
        <w:rPr>
          <w:rFonts w:asciiTheme="majorBidi" w:hAnsiTheme="majorBidi" w:cstheme="majorBidi"/>
          <w:i/>
          <w:iCs/>
          <w:sz w:val="24"/>
          <w:szCs w:val="24"/>
          <w:lang w:val="en-GB"/>
        </w:rPr>
        <w:t>en masse</w:t>
      </w:r>
      <w:r w:rsidR="00A52788" w:rsidRPr="00100028">
        <w:rPr>
          <w:rFonts w:asciiTheme="majorBidi" w:hAnsiTheme="majorBidi" w:cstheme="majorBidi"/>
          <w:sz w:val="24"/>
          <w:szCs w:val="24"/>
          <w:lang w:val="en-GB"/>
        </w:rPr>
        <w:t xml:space="preserve"> to these inhabitants. This obligation stems from the law of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 xml:space="preserve"> succession.</w:t>
      </w:r>
      <w:r w:rsidR="00C709B9" w:rsidRPr="00100028">
        <w:rPr>
          <w:rStyle w:val="FootnoteReference"/>
          <w:rFonts w:asciiTheme="majorBidi" w:hAnsiTheme="majorBidi" w:cstheme="majorBidi"/>
          <w:sz w:val="24"/>
          <w:szCs w:val="24"/>
          <w:lang w:val="en-GB"/>
        </w:rPr>
        <w:footnoteReference w:id="143"/>
      </w:r>
      <w:r w:rsidRPr="00100028">
        <w:rPr>
          <w:rFonts w:asciiTheme="majorBidi" w:hAnsiTheme="majorBidi" w:cstheme="majorBidi"/>
          <w:sz w:val="24"/>
          <w:szCs w:val="24"/>
          <w:lang w:val="en-GB"/>
        </w:rPr>
        <w:t xml:space="preserve"> Palestine is</w:t>
      </w:r>
      <w:r w:rsidR="00A52788" w:rsidRPr="00100028">
        <w:rPr>
          <w:rFonts w:asciiTheme="majorBidi" w:hAnsiTheme="majorBidi" w:cstheme="majorBidi"/>
          <w:sz w:val="24"/>
          <w:szCs w:val="24"/>
          <w:lang w:val="en-GB"/>
        </w:rPr>
        <w:t xml:space="preserve"> a successor </w:t>
      </w:r>
      <w:r w:rsidR="00FE2B16" w:rsidRPr="00100028">
        <w:rPr>
          <w:rFonts w:asciiTheme="majorBidi" w:hAnsiTheme="majorBidi" w:cstheme="majorBidi"/>
          <w:sz w:val="24"/>
          <w:szCs w:val="24"/>
          <w:lang w:val="en-GB"/>
        </w:rPr>
        <w:t>State</w:t>
      </w:r>
      <w:r w:rsidR="00A52788" w:rsidRPr="00100028">
        <w:rPr>
          <w:rFonts w:asciiTheme="majorBidi" w:hAnsiTheme="majorBidi" w:cstheme="majorBidi"/>
          <w:sz w:val="24"/>
          <w:szCs w:val="24"/>
          <w:lang w:val="en-GB"/>
        </w:rPr>
        <w:t xml:space="preserve"> to Mandate Pales</w:t>
      </w:r>
      <w:r w:rsidRPr="00100028">
        <w:rPr>
          <w:rFonts w:asciiTheme="majorBidi" w:hAnsiTheme="majorBidi" w:cstheme="majorBidi"/>
          <w:sz w:val="24"/>
          <w:szCs w:val="24"/>
          <w:lang w:val="en-GB"/>
        </w:rPr>
        <w:t>tine, as Palestinian citizenship</w:t>
      </w:r>
      <w:r w:rsidR="00A52788" w:rsidRPr="00100028">
        <w:rPr>
          <w:rFonts w:asciiTheme="majorBidi" w:hAnsiTheme="majorBidi" w:cstheme="majorBidi"/>
          <w:sz w:val="24"/>
          <w:szCs w:val="24"/>
          <w:lang w:val="en-GB"/>
        </w:rPr>
        <w:t xml:space="preserve"> has never been settled since the dissolution of </w:t>
      </w:r>
      <w:r w:rsidRPr="00100028">
        <w:rPr>
          <w:rFonts w:asciiTheme="majorBidi" w:hAnsiTheme="majorBidi" w:cstheme="majorBidi"/>
          <w:sz w:val="24"/>
          <w:szCs w:val="24"/>
          <w:lang w:val="en-GB"/>
        </w:rPr>
        <w:t xml:space="preserve">the Mandate </w:t>
      </w:r>
      <w:r w:rsidR="00A52788" w:rsidRPr="00100028">
        <w:rPr>
          <w:rFonts w:asciiTheme="majorBidi" w:hAnsiTheme="majorBidi" w:cstheme="majorBidi"/>
          <w:sz w:val="24"/>
          <w:szCs w:val="24"/>
          <w:lang w:val="en-GB"/>
        </w:rPr>
        <w:t>Palestine in</w:t>
      </w:r>
      <w:r w:rsidR="00C709B9" w:rsidRPr="00100028">
        <w:rPr>
          <w:rFonts w:asciiTheme="majorBidi" w:hAnsiTheme="majorBidi" w:cstheme="majorBidi"/>
          <w:sz w:val="24"/>
          <w:szCs w:val="24"/>
          <w:lang w:val="en-GB"/>
        </w:rPr>
        <w:t xml:space="preserve"> May 1948. In addition, the</w:t>
      </w:r>
      <w:r w:rsidR="00A52788" w:rsidRPr="00100028">
        <w:rPr>
          <w:rFonts w:asciiTheme="majorBidi" w:hAnsiTheme="majorBidi" w:cstheme="majorBidi"/>
          <w:sz w:val="24"/>
          <w:szCs w:val="24"/>
          <w:lang w:val="en-GB"/>
        </w:rPr>
        <w:t xml:space="preserve"> </w:t>
      </w:r>
      <w:r w:rsidR="00FE2B16" w:rsidRPr="00100028">
        <w:rPr>
          <w:rFonts w:asciiTheme="majorBidi" w:hAnsiTheme="majorBidi" w:cstheme="majorBidi"/>
          <w:sz w:val="24"/>
          <w:szCs w:val="24"/>
          <w:lang w:val="en-GB"/>
        </w:rPr>
        <w:t>State</w:t>
      </w:r>
      <w:r w:rsidR="00A52788" w:rsidRPr="00100028">
        <w:rPr>
          <w:rFonts w:asciiTheme="majorBidi" w:hAnsiTheme="majorBidi" w:cstheme="majorBidi"/>
          <w:sz w:val="24"/>
          <w:szCs w:val="24"/>
          <w:lang w:val="en-GB"/>
        </w:rPr>
        <w:t xml:space="preserve"> </w:t>
      </w:r>
      <w:r w:rsidR="00C709B9" w:rsidRPr="00100028">
        <w:rPr>
          <w:rFonts w:asciiTheme="majorBidi" w:hAnsiTheme="majorBidi" w:cstheme="majorBidi"/>
          <w:sz w:val="24"/>
          <w:szCs w:val="24"/>
          <w:lang w:val="en-GB"/>
        </w:rPr>
        <w:t xml:space="preserve">of Palestine </w:t>
      </w:r>
      <w:r w:rsidR="00A52788" w:rsidRPr="00100028">
        <w:rPr>
          <w:rFonts w:asciiTheme="majorBidi" w:hAnsiTheme="majorBidi" w:cstheme="majorBidi"/>
          <w:sz w:val="24"/>
          <w:szCs w:val="24"/>
          <w:lang w:val="en-GB"/>
        </w:rPr>
        <w:t xml:space="preserve">would become a successor to all the </w:t>
      </w:r>
      <w:r w:rsidR="00FE2B16" w:rsidRPr="00100028">
        <w:rPr>
          <w:rFonts w:asciiTheme="majorBidi" w:hAnsiTheme="majorBidi" w:cstheme="majorBidi"/>
          <w:sz w:val="24"/>
          <w:szCs w:val="24"/>
          <w:lang w:val="en-GB"/>
        </w:rPr>
        <w:t>State</w:t>
      </w:r>
      <w:r w:rsidR="00A52788" w:rsidRPr="00100028">
        <w:rPr>
          <w:rFonts w:asciiTheme="majorBidi" w:hAnsiTheme="majorBidi" w:cstheme="majorBidi"/>
          <w:sz w:val="24"/>
          <w:szCs w:val="24"/>
          <w:lang w:val="en-GB"/>
        </w:rPr>
        <w:t xml:space="preserve">s </w:t>
      </w:r>
      <w:r w:rsidRPr="00100028">
        <w:rPr>
          <w:rFonts w:asciiTheme="majorBidi" w:hAnsiTheme="majorBidi" w:cstheme="majorBidi"/>
          <w:sz w:val="24"/>
          <w:szCs w:val="24"/>
          <w:lang w:val="en-GB"/>
        </w:rPr>
        <w:t xml:space="preserve">or entities </w:t>
      </w:r>
      <w:r w:rsidR="00A52788" w:rsidRPr="00100028">
        <w:rPr>
          <w:rFonts w:asciiTheme="majorBidi" w:hAnsiTheme="majorBidi" w:cstheme="majorBidi"/>
          <w:sz w:val="24"/>
          <w:szCs w:val="24"/>
          <w:lang w:val="en-GB"/>
        </w:rPr>
        <w:t>that have exercised de facto</w:t>
      </w:r>
      <w:r w:rsidRPr="00100028">
        <w:rPr>
          <w:rFonts w:asciiTheme="majorBidi" w:hAnsiTheme="majorBidi" w:cstheme="majorBidi"/>
          <w:sz w:val="24"/>
          <w:szCs w:val="24"/>
          <w:lang w:val="en-GB"/>
        </w:rPr>
        <w:t xml:space="preserve"> control in the West Bank or Gaza</w:t>
      </w:r>
      <w:r w:rsidR="00A52788" w:rsidRPr="00100028">
        <w:rPr>
          <w:rFonts w:asciiTheme="majorBidi" w:hAnsiTheme="majorBidi" w:cstheme="majorBidi"/>
          <w:sz w:val="24"/>
          <w:szCs w:val="24"/>
          <w:lang w:val="en-GB"/>
        </w:rPr>
        <w:t xml:space="preserve"> (Jordan, Egypt, Israe</w:t>
      </w:r>
      <w:r w:rsidRPr="00100028">
        <w:rPr>
          <w:rFonts w:asciiTheme="majorBidi" w:hAnsiTheme="majorBidi" w:cstheme="majorBidi"/>
          <w:sz w:val="24"/>
          <w:szCs w:val="24"/>
          <w:lang w:val="en-GB"/>
        </w:rPr>
        <w:t>l, the PA, and probably even Hamas</w:t>
      </w:r>
      <w:r w:rsidR="00A52788" w:rsidRPr="00100028">
        <w:rPr>
          <w:rFonts w:asciiTheme="majorBidi" w:hAnsiTheme="majorBidi" w:cstheme="majorBidi"/>
          <w:sz w:val="24"/>
          <w:szCs w:val="24"/>
          <w:lang w:val="en-GB"/>
        </w:rPr>
        <w:t>) and have taken action with res</w:t>
      </w:r>
      <w:r w:rsidRPr="00100028">
        <w:rPr>
          <w:rFonts w:asciiTheme="majorBidi" w:hAnsiTheme="majorBidi" w:cstheme="majorBidi"/>
          <w:sz w:val="24"/>
          <w:szCs w:val="24"/>
          <w:lang w:val="en-GB"/>
        </w:rPr>
        <w:t>pect to the inhabitants</w:t>
      </w:r>
      <w:r w:rsidR="00F130C3"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 xml:space="preserve"> citizenship</w:t>
      </w:r>
      <w:r w:rsidR="00A52788" w:rsidRPr="00100028">
        <w:rPr>
          <w:rFonts w:asciiTheme="majorBidi" w:hAnsiTheme="majorBidi" w:cstheme="majorBidi"/>
          <w:sz w:val="24"/>
          <w:szCs w:val="24"/>
          <w:lang w:val="en-GB"/>
        </w:rPr>
        <w:t>. For example, if Jordan in the West</w:t>
      </w:r>
      <w:r w:rsidRPr="00100028">
        <w:rPr>
          <w:rFonts w:asciiTheme="majorBidi" w:hAnsiTheme="majorBidi" w:cstheme="majorBidi"/>
          <w:sz w:val="24"/>
          <w:szCs w:val="24"/>
          <w:lang w:val="en-GB"/>
        </w:rPr>
        <w:t xml:space="preserve"> Bank or Egypt in Gaza</w:t>
      </w:r>
      <w:r w:rsidR="00A52788" w:rsidRPr="00100028">
        <w:rPr>
          <w:rFonts w:asciiTheme="majorBidi" w:hAnsiTheme="majorBidi" w:cstheme="majorBidi"/>
          <w:sz w:val="24"/>
          <w:szCs w:val="24"/>
          <w:lang w:val="en-GB"/>
        </w:rPr>
        <w:t xml:space="preserve"> (before 1967) or Israel</w:t>
      </w:r>
      <w:r w:rsidRPr="00100028">
        <w:rPr>
          <w:rFonts w:asciiTheme="majorBidi" w:hAnsiTheme="majorBidi" w:cstheme="majorBidi"/>
          <w:sz w:val="24"/>
          <w:szCs w:val="24"/>
          <w:lang w:val="en-GB"/>
        </w:rPr>
        <w:t xml:space="preserve"> in the West Bank and Gaza</w:t>
      </w:r>
      <w:r w:rsidR="00A52788" w:rsidRPr="00100028">
        <w:rPr>
          <w:rFonts w:asciiTheme="majorBidi" w:hAnsiTheme="majorBidi" w:cstheme="majorBidi"/>
          <w:sz w:val="24"/>
          <w:szCs w:val="24"/>
          <w:lang w:val="en-GB"/>
        </w:rPr>
        <w:t xml:space="preserve"> (after 1967) granted de facto</w:t>
      </w:r>
      <w:r w:rsidRPr="00100028">
        <w:rPr>
          <w:rFonts w:asciiTheme="majorBidi" w:hAnsiTheme="majorBidi" w:cstheme="majorBidi"/>
          <w:sz w:val="24"/>
          <w:szCs w:val="24"/>
          <w:lang w:val="en-GB"/>
        </w:rPr>
        <w:t xml:space="preserve"> Palestinian citizenship</w:t>
      </w:r>
      <w:r w:rsidR="00C709B9" w:rsidRPr="00100028">
        <w:rPr>
          <w:rFonts w:asciiTheme="majorBidi" w:hAnsiTheme="majorBidi" w:cstheme="majorBidi"/>
          <w:sz w:val="24"/>
          <w:szCs w:val="24"/>
          <w:lang w:val="en-GB"/>
        </w:rPr>
        <w:t>, or permanent residence</w:t>
      </w:r>
      <w:r w:rsidR="00A52788" w:rsidRPr="00100028">
        <w:rPr>
          <w:rFonts w:asciiTheme="majorBidi" w:hAnsiTheme="majorBidi" w:cstheme="majorBidi"/>
          <w:sz w:val="24"/>
          <w:szCs w:val="24"/>
          <w:lang w:val="en-GB"/>
        </w:rPr>
        <w:t>, to cert</w:t>
      </w:r>
      <w:r w:rsidRPr="00100028">
        <w:rPr>
          <w:rFonts w:asciiTheme="majorBidi" w:hAnsiTheme="majorBidi" w:cstheme="majorBidi"/>
          <w:sz w:val="24"/>
          <w:szCs w:val="24"/>
          <w:lang w:val="en-GB"/>
        </w:rPr>
        <w:t xml:space="preserve">ain </w:t>
      </w:r>
      <w:r w:rsidR="00BD4ED9" w:rsidRPr="00100028">
        <w:rPr>
          <w:rFonts w:asciiTheme="majorBidi" w:hAnsiTheme="majorBidi" w:cstheme="majorBidi"/>
          <w:sz w:val="24"/>
          <w:szCs w:val="24"/>
          <w:lang w:val="en-GB"/>
        </w:rPr>
        <w:t>persons</w:t>
      </w:r>
      <w:r w:rsidRPr="00100028">
        <w:rPr>
          <w:rFonts w:asciiTheme="majorBidi" w:hAnsiTheme="majorBidi" w:cstheme="majorBidi"/>
          <w:sz w:val="24"/>
          <w:szCs w:val="24"/>
          <w:lang w:val="en-GB"/>
        </w:rPr>
        <w:t>,</w:t>
      </w:r>
      <w:r w:rsidR="00A52788" w:rsidRPr="00100028">
        <w:rPr>
          <w:rFonts w:asciiTheme="majorBidi" w:hAnsiTheme="majorBidi" w:cstheme="majorBidi"/>
          <w:sz w:val="24"/>
          <w:szCs w:val="24"/>
          <w:lang w:val="en-GB"/>
        </w:rPr>
        <w:t xml:space="preserve"> Palestine should confirm this status a</w:t>
      </w:r>
      <w:r w:rsidRPr="00100028">
        <w:rPr>
          <w:rFonts w:asciiTheme="majorBidi" w:hAnsiTheme="majorBidi" w:cstheme="majorBidi"/>
          <w:sz w:val="24"/>
          <w:szCs w:val="24"/>
          <w:lang w:val="en-GB"/>
        </w:rPr>
        <w:t>nd grant citizenship</w:t>
      </w:r>
      <w:r w:rsidR="00A52788" w:rsidRPr="00100028">
        <w:rPr>
          <w:rFonts w:asciiTheme="majorBidi" w:hAnsiTheme="majorBidi" w:cstheme="majorBidi"/>
          <w:sz w:val="24"/>
          <w:szCs w:val="24"/>
          <w:lang w:val="en-GB"/>
        </w:rPr>
        <w:t xml:space="preserve"> to such</w:t>
      </w:r>
      <w:r w:rsidR="00BD4ED9" w:rsidRPr="00100028">
        <w:rPr>
          <w:rFonts w:asciiTheme="majorBidi" w:hAnsiTheme="majorBidi" w:cstheme="majorBidi"/>
          <w:sz w:val="24"/>
          <w:szCs w:val="24"/>
          <w:lang w:val="en-GB"/>
        </w:rPr>
        <w:t xml:space="preserve"> individuals</w:t>
      </w:r>
      <w:r w:rsidRPr="00100028">
        <w:rPr>
          <w:rFonts w:asciiTheme="majorBidi" w:hAnsiTheme="majorBidi" w:cstheme="majorBidi"/>
          <w:sz w:val="24"/>
          <w:szCs w:val="24"/>
          <w:lang w:val="en-GB"/>
        </w:rPr>
        <w:t>. The obligation of</w:t>
      </w:r>
      <w:r w:rsidR="00A52788" w:rsidRPr="00100028">
        <w:rPr>
          <w:rFonts w:asciiTheme="majorBidi" w:hAnsiTheme="majorBidi" w:cstheme="majorBidi"/>
          <w:sz w:val="24"/>
          <w:szCs w:val="24"/>
          <w:lang w:val="en-GB"/>
        </w:rPr>
        <w:t xml:space="preserve"> Palestine can be </w:t>
      </w:r>
      <w:r w:rsidR="00BD4ED9" w:rsidRPr="00100028">
        <w:rPr>
          <w:rFonts w:asciiTheme="majorBidi" w:hAnsiTheme="majorBidi" w:cstheme="majorBidi"/>
          <w:sz w:val="24"/>
          <w:szCs w:val="24"/>
          <w:lang w:val="en-GB"/>
        </w:rPr>
        <w:t>in</w:t>
      </w:r>
      <w:r w:rsidR="00C709B9" w:rsidRPr="00100028">
        <w:rPr>
          <w:rFonts w:asciiTheme="majorBidi" w:hAnsiTheme="majorBidi" w:cstheme="majorBidi"/>
          <w:sz w:val="24"/>
          <w:szCs w:val="24"/>
          <w:lang w:val="en-GB"/>
        </w:rPr>
        <w:t>duced from the</w:t>
      </w:r>
      <w:r w:rsidR="00A52788" w:rsidRPr="00100028">
        <w:rPr>
          <w:rFonts w:asciiTheme="majorBidi" w:hAnsiTheme="majorBidi" w:cstheme="majorBidi"/>
          <w:sz w:val="24"/>
          <w:szCs w:val="24"/>
          <w:lang w:val="en-GB"/>
        </w:rPr>
        <w:t xml:space="preserve"> custo</w:t>
      </w:r>
      <w:r w:rsidR="004D7D9E" w:rsidRPr="00100028">
        <w:rPr>
          <w:rFonts w:asciiTheme="majorBidi" w:hAnsiTheme="majorBidi" w:cstheme="majorBidi"/>
          <w:sz w:val="24"/>
          <w:szCs w:val="24"/>
          <w:lang w:val="en-GB"/>
        </w:rPr>
        <w:t>mary rule as codified in Art.</w:t>
      </w:r>
      <w:r w:rsidR="00A52788" w:rsidRPr="00100028">
        <w:rPr>
          <w:rFonts w:asciiTheme="majorBidi" w:hAnsiTheme="majorBidi" w:cstheme="majorBidi"/>
          <w:sz w:val="24"/>
          <w:szCs w:val="24"/>
          <w:lang w:val="en-GB"/>
        </w:rPr>
        <w:t xml:space="preserve"> 1 of the </w:t>
      </w:r>
      <w:r w:rsidR="004D7D9E" w:rsidRPr="00100028">
        <w:rPr>
          <w:rFonts w:asciiTheme="majorBidi" w:hAnsiTheme="majorBidi" w:cstheme="majorBidi"/>
          <w:sz w:val="24"/>
          <w:szCs w:val="24"/>
          <w:lang w:val="en-GB"/>
        </w:rPr>
        <w:t xml:space="preserve">1999 </w:t>
      </w:r>
      <w:r w:rsidR="00A52788" w:rsidRPr="00100028">
        <w:rPr>
          <w:rFonts w:asciiTheme="majorBidi" w:hAnsiTheme="majorBidi" w:cstheme="majorBidi"/>
          <w:sz w:val="24"/>
          <w:szCs w:val="24"/>
          <w:lang w:val="en-GB"/>
        </w:rPr>
        <w:t>International Law Commission</w:t>
      </w:r>
      <w:r w:rsidR="00F130C3" w:rsidRPr="00100028">
        <w:rPr>
          <w:rFonts w:asciiTheme="majorBidi" w:hAnsiTheme="majorBidi" w:cstheme="majorBidi"/>
          <w:sz w:val="24"/>
          <w:szCs w:val="24"/>
          <w:lang w:val="en-GB"/>
        </w:rPr>
        <w:t>’</w:t>
      </w:r>
      <w:r w:rsidR="00A52788" w:rsidRPr="00100028">
        <w:rPr>
          <w:rFonts w:asciiTheme="majorBidi" w:hAnsiTheme="majorBidi" w:cstheme="majorBidi"/>
          <w:sz w:val="24"/>
          <w:szCs w:val="24"/>
          <w:lang w:val="en-GB"/>
        </w:rPr>
        <w:t xml:space="preserve">s Draft Articles on Nationality of Natural Persons in relation to the Succession of </w:t>
      </w:r>
      <w:r w:rsidR="00FE2B16" w:rsidRPr="00100028">
        <w:rPr>
          <w:rFonts w:asciiTheme="majorBidi" w:hAnsiTheme="majorBidi" w:cstheme="majorBidi"/>
          <w:sz w:val="24"/>
          <w:szCs w:val="24"/>
          <w:lang w:val="en-GB"/>
        </w:rPr>
        <w:t>State</w:t>
      </w:r>
      <w:r w:rsidR="00A52788" w:rsidRPr="00100028">
        <w:rPr>
          <w:rFonts w:asciiTheme="majorBidi" w:hAnsiTheme="majorBidi" w:cstheme="majorBidi"/>
          <w:sz w:val="24"/>
          <w:szCs w:val="24"/>
          <w:lang w:val="en-GB"/>
        </w:rPr>
        <w:t>s.</w:t>
      </w:r>
      <w:r w:rsidR="00C709B9" w:rsidRPr="00100028">
        <w:rPr>
          <w:rStyle w:val="FootnoteReference"/>
          <w:rFonts w:asciiTheme="majorBidi" w:hAnsiTheme="majorBidi" w:cstheme="majorBidi"/>
          <w:sz w:val="24"/>
          <w:szCs w:val="24"/>
          <w:lang w:val="en-GB"/>
        </w:rPr>
        <w:footnoteReference w:id="144"/>
      </w:r>
      <w:r w:rsidR="00BD4ED9" w:rsidRPr="00100028">
        <w:rPr>
          <w:rFonts w:asciiTheme="majorBidi" w:hAnsiTheme="majorBidi" w:cstheme="majorBidi"/>
          <w:sz w:val="24"/>
          <w:szCs w:val="24"/>
          <w:lang w:val="en-GB"/>
        </w:rPr>
        <w:t xml:space="preserve"> This article</w:t>
      </w:r>
      <w:r w:rsidR="00A52788" w:rsidRPr="00100028">
        <w:rPr>
          <w:rFonts w:asciiTheme="majorBidi" w:hAnsiTheme="majorBidi" w:cstheme="majorBidi"/>
          <w:sz w:val="24"/>
          <w:szCs w:val="24"/>
          <w:lang w:val="en-GB"/>
        </w:rPr>
        <w:t xml:space="preserve"> obliges each successor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 xml:space="preserve"> to grant its citizenship</w:t>
      </w:r>
      <w:r w:rsidR="00A52788" w:rsidRPr="00100028">
        <w:rPr>
          <w:rFonts w:asciiTheme="majorBidi" w:hAnsiTheme="majorBidi" w:cstheme="majorBidi"/>
          <w:sz w:val="24"/>
          <w:szCs w:val="24"/>
          <w:lang w:val="en-GB"/>
        </w:rPr>
        <w:t xml:space="preserve"> to every in</w:t>
      </w:r>
      <w:r w:rsidR="003B28B8" w:rsidRPr="00100028">
        <w:rPr>
          <w:rFonts w:asciiTheme="majorBidi" w:hAnsiTheme="majorBidi" w:cstheme="majorBidi"/>
          <w:sz w:val="24"/>
          <w:szCs w:val="24"/>
          <w:lang w:val="en-GB"/>
        </w:rPr>
        <w:t>dividual who held</w:t>
      </w:r>
      <w:r w:rsidRPr="00100028">
        <w:rPr>
          <w:rFonts w:asciiTheme="majorBidi" w:hAnsiTheme="majorBidi" w:cstheme="majorBidi"/>
          <w:sz w:val="24"/>
          <w:szCs w:val="24"/>
          <w:lang w:val="en-GB"/>
        </w:rPr>
        <w:t xml:space="preserve"> the citizenship</w:t>
      </w:r>
      <w:r w:rsidR="00A52788" w:rsidRPr="00100028">
        <w:rPr>
          <w:rFonts w:asciiTheme="majorBidi" w:hAnsiTheme="majorBidi" w:cstheme="majorBidi"/>
          <w:sz w:val="24"/>
          <w:szCs w:val="24"/>
          <w:lang w:val="en-GB"/>
        </w:rPr>
        <w:t xml:space="preserve"> of the predecessor </w:t>
      </w:r>
      <w:r w:rsidR="00FE2B16" w:rsidRPr="00100028">
        <w:rPr>
          <w:rFonts w:asciiTheme="majorBidi" w:hAnsiTheme="majorBidi" w:cstheme="majorBidi"/>
          <w:sz w:val="24"/>
          <w:szCs w:val="24"/>
          <w:lang w:val="en-GB"/>
        </w:rPr>
        <w:t>State</w:t>
      </w:r>
      <w:r w:rsidR="00A52788" w:rsidRPr="00100028">
        <w:rPr>
          <w:rFonts w:asciiTheme="majorBidi" w:hAnsiTheme="majorBidi" w:cstheme="majorBidi"/>
          <w:sz w:val="24"/>
          <w:szCs w:val="24"/>
          <w:lang w:val="en-GB"/>
        </w:rPr>
        <w:t xml:space="preserve"> and who has his or her habitual residence in the successor </w:t>
      </w:r>
      <w:r w:rsidR="00FE2B16" w:rsidRPr="00100028">
        <w:rPr>
          <w:rFonts w:asciiTheme="majorBidi" w:hAnsiTheme="majorBidi" w:cstheme="majorBidi"/>
          <w:sz w:val="24"/>
          <w:szCs w:val="24"/>
          <w:lang w:val="en-GB"/>
        </w:rPr>
        <w:t>State</w:t>
      </w:r>
      <w:r w:rsidR="00A52788" w:rsidRPr="00100028">
        <w:rPr>
          <w:rFonts w:asciiTheme="majorBidi" w:hAnsiTheme="majorBidi" w:cstheme="majorBidi"/>
          <w:sz w:val="24"/>
          <w:szCs w:val="24"/>
          <w:lang w:val="en-GB"/>
        </w:rPr>
        <w:t>.</w:t>
      </w:r>
    </w:p>
    <w:p w:rsidR="00A52788" w:rsidRPr="00100028" w:rsidRDefault="00A52788" w:rsidP="00100028">
      <w:pPr>
        <w:autoSpaceDE w:val="0"/>
        <w:autoSpaceDN w:val="0"/>
        <w:bidi w:val="0"/>
        <w:adjustRightInd w:val="0"/>
        <w:jc w:val="both"/>
        <w:rPr>
          <w:rFonts w:asciiTheme="majorBidi" w:hAnsiTheme="majorBidi" w:cstheme="majorBidi"/>
          <w:sz w:val="24"/>
          <w:szCs w:val="24"/>
          <w:lang w:val="en-GB"/>
        </w:rPr>
      </w:pPr>
    </w:p>
    <w:p w:rsidR="00A52788" w:rsidRPr="00100028" w:rsidRDefault="00A52788" w:rsidP="00100028">
      <w:pPr>
        <w:autoSpaceDE w:val="0"/>
        <w:autoSpaceDN w:val="0"/>
        <w:bidi w:val="0"/>
        <w:adjustRightInd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The obligation of the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 xml:space="preserve"> of Pa</w:t>
      </w:r>
      <w:r w:rsidR="000C03AF" w:rsidRPr="00100028">
        <w:rPr>
          <w:rFonts w:asciiTheme="majorBidi" w:hAnsiTheme="majorBidi" w:cstheme="majorBidi"/>
          <w:sz w:val="24"/>
          <w:szCs w:val="24"/>
          <w:lang w:val="en-GB"/>
        </w:rPr>
        <w:t>lestine to grant its citizenship</w:t>
      </w:r>
      <w:r w:rsidRPr="00100028">
        <w:rPr>
          <w:rFonts w:asciiTheme="majorBidi" w:hAnsiTheme="majorBidi" w:cstheme="majorBidi"/>
          <w:sz w:val="24"/>
          <w:szCs w:val="24"/>
          <w:lang w:val="en-GB"/>
        </w:rPr>
        <w:t xml:space="preserve"> should hold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irrespective of the mode of acquisition of that [predecessor] nationality</w:t>
      </w:r>
      <w:r w:rsidR="007D0218"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w:t>
      </w:r>
      <w:r w:rsidR="00C709B9" w:rsidRPr="00100028">
        <w:rPr>
          <w:rStyle w:val="FootnoteReference"/>
          <w:rFonts w:asciiTheme="majorBidi" w:hAnsiTheme="majorBidi" w:cstheme="majorBidi"/>
          <w:sz w:val="24"/>
          <w:szCs w:val="24"/>
          <w:lang w:val="en-GB"/>
        </w:rPr>
        <w:footnoteReference w:id="145"/>
      </w:r>
      <w:r w:rsidRPr="00100028">
        <w:rPr>
          <w:rFonts w:asciiTheme="majorBidi" w:hAnsiTheme="majorBidi" w:cstheme="majorBidi"/>
          <w:sz w:val="24"/>
          <w:szCs w:val="24"/>
          <w:lang w:val="en-GB"/>
        </w:rPr>
        <w:t xml:space="preserve"> Thus, Jordan mi</w:t>
      </w:r>
      <w:r w:rsidR="000C03AF" w:rsidRPr="00100028">
        <w:rPr>
          <w:rFonts w:asciiTheme="majorBidi" w:hAnsiTheme="majorBidi" w:cstheme="majorBidi"/>
          <w:sz w:val="24"/>
          <w:szCs w:val="24"/>
          <w:lang w:val="en-GB"/>
        </w:rPr>
        <w:t>ght have granted its citizenship</w:t>
      </w:r>
      <w:r w:rsidRPr="00100028">
        <w:rPr>
          <w:rFonts w:asciiTheme="majorBidi" w:hAnsiTheme="majorBidi" w:cstheme="majorBidi"/>
          <w:sz w:val="24"/>
          <w:szCs w:val="24"/>
          <w:lang w:val="en-GB"/>
        </w:rPr>
        <w:t xml:space="preserve"> to some foreigners in the West Bank during its rule before 1967. Some East Jordanians might have moved to the West Bank at that time, since residence within Jordan, east and west, was possible as part of the local law under which all citizens were </w:t>
      </w:r>
      <w:r w:rsidR="00196005" w:rsidRPr="00100028">
        <w:rPr>
          <w:rFonts w:asciiTheme="majorBidi" w:hAnsiTheme="majorBidi" w:cstheme="majorBidi"/>
          <w:sz w:val="24"/>
          <w:szCs w:val="24"/>
          <w:lang w:val="en-GB"/>
        </w:rPr>
        <w:t>free to live in the two</w:t>
      </w:r>
      <w:r w:rsidR="00C709B9" w:rsidRPr="00100028">
        <w:rPr>
          <w:rFonts w:asciiTheme="majorBidi" w:hAnsiTheme="majorBidi" w:cstheme="majorBidi"/>
          <w:sz w:val="24"/>
          <w:szCs w:val="24"/>
          <w:lang w:val="en-GB"/>
        </w:rPr>
        <w:t xml:space="preserve"> sides of </w:t>
      </w:r>
      <w:r w:rsidR="00196005" w:rsidRPr="00100028">
        <w:rPr>
          <w:rFonts w:asciiTheme="majorBidi" w:hAnsiTheme="majorBidi" w:cstheme="majorBidi"/>
          <w:sz w:val="24"/>
          <w:szCs w:val="24"/>
          <w:lang w:val="en-GB"/>
        </w:rPr>
        <w:t xml:space="preserve">the </w:t>
      </w:r>
      <w:r w:rsidR="000C03AF" w:rsidRPr="00100028">
        <w:rPr>
          <w:rFonts w:asciiTheme="majorBidi" w:hAnsiTheme="majorBidi" w:cstheme="majorBidi"/>
          <w:sz w:val="24"/>
          <w:szCs w:val="24"/>
          <w:lang w:val="en-GB"/>
        </w:rPr>
        <w:t>Jordan</w:t>
      </w:r>
      <w:r w:rsidR="00196005" w:rsidRPr="00100028">
        <w:rPr>
          <w:rFonts w:asciiTheme="majorBidi" w:hAnsiTheme="majorBidi" w:cstheme="majorBidi"/>
          <w:sz w:val="24"/>
          <w:szCs w:val="24"/>
          <w:lang w:val="en-GB"/>
        </w:rPr>
        <w:t xml:space="preserve"> River</w:t>
      </w:r>
      <w:r w:rsidRPr="00100028">
        <w:rPr>
          <w:rFonts w:asciiTheme="majorBidi" w:hAnsiTheme="majorBidi" w:cstheme="majorBidi"/>
          <w:sz w:val="24"/>
          <w:szCs w:val="24"/>
          <w:lang w:val="en-GB"/>
        </w:rPr>
        <w:t>. The two groups of persons might have become permanent resi</w:t>
      </w:r>
      <w:r w:rsidR="00196005" w:rsidRPr="00100028">
        <w:rPr>
          <w:rFonts w:asciiTheme="majorBidi" w:hAnsiTheme="majorBidi" w:cstheme="majorBidi"/>
          <w:sz w:val="24"/>
          <w:szCs w:val="24"/>
          <w:lang w:val="en-GB"/>
        </w:rPr>
        <w:t>dents of the West Bank after</w:t>
      </w:r>
      <w:r w:rsidRPr="00100028">
        <w:rPr>
          <w:rFonts w:asciiTheme="majorBidi" w:hAnsiTheme="majorBidi" w:cstheme="majorBidi"/>
          <w:sz w:val="24"/>
          <w:szCs w:val="24"/>
          <w:lang w:val="en-GB"/>
        </w:rPr>
        <w:t xml:space="preserve"> Israeli occupation. Israel, too, might have granted family reunification to a certain number of non-Palestinian men or women during its rule in </w:t>
      </w:r>
      <w:r w:rsidR="000C03AF" w:rsidRPr="00100028">
        <w:rPr>
          <w:rFonts w:asciiTheme="majorBidi" w:hAnsiTheme="majorBidi" w:cstheme="majorBidi"/>
          <w:sz w:val="24"/>
          <w:szCs w:val="24"/>
          <w:lang w:val="en-GB"/>
        </w:rPr>
        <w:t>the West Bank and Gaza</w:t>
      </w:r>
      <w:r w:rsidRPr="00100028">
        <w:rPr>
          <w:rFonts w:asciiTheme="majorBidi" w:hAnsiTheme="majorBidi" w:cstheme="majorBidi"/>
          <w:sz w:val="24"/>
          <w:szCs w:val="24"/>
          <w:lang w:val="en-GB"/>
        </w:rPr>
        <w:t xml:space="preserve">. Some of these persons are </w:t>
      </w:r>
      <w:r w:rsidR="000C03AF" w:rsidRPr="00100028">
        <w:rPr>
          <w:rFonts w:asciiTheme="majorBidi" w:hAnsiTheme="majorBidi" w:cstheme="majorBidi"/>
          <w:sz w:val="24"/>
          <w:szCs w:val="24"/>
          <w:lang w:val="en-GB"/>
        </w:rPr>
        <w:t>currently permanent residents</w:t>
      </w:r>
      <w:r w:rsidRPr="00100028">
        <w:rPr>
          <w:rFonts w:asciiTheme="majorBidi" w:hAnsiTheme="majorBidi" w:cstheme="majorBidi"/>
          <w:sz w:val="24"/>
          <w:szCs w:val="24"/>
          <w:lang w:val="en-GB"/>
        </w:rPr>
        <w:t xml:space="preserve">, holding Palestinian identity cards and passports just like the rest of the local population. </w:t>
      </w:r>
      <w:r w:rsidR="00C709B9" w:rsidRPr="00100028">
        <w:rPr>
          <w:rFonts w:asciiTheme="majorBidi" w:hAnsiTheme="majorBidi" w:cstheme="majorBidi"/>
          <w:sz w:val="24"/>
          <w:szCs w:val="24"/>
          <w:lang w:val="en-GB"/>
        </w:rPr>
        <w:t xml:space="preserve">They have well-established legal positions, such as </w:t>
      </w:r>
      <w:r w:rsidR="00B5505D" w:rsidRPr="00100028">
        <w:rPr>
          <w:rFonts w:asciiTheme="majorBidi" w:hAnsiTheme="majorBidi" w:cstheme="majorBidi"/>
          <w:sz w:val="24"/>
          <w:szCs w:val="24"/>
          <w:lang w:val="en-GB"/>
        </w:rPr>
        <w:t xml:space="preserve">birth, property ownership, families, business, etc. </w:t>
      </w:r>
      <w:r w:rsidRPr="00100028">
        <w:rPr>
          <w:rFonts w:asciiTheme="majorBidi" w:hAnsiTheme="majorBidi" w:cstheme="majorBidi"/>
          <w:sz w:val="24"/>
          <w:szCs w:val="24"/>
          <w:lang w:val="en-GB"/>
        </w:rPr>
        <w:lastRenderedPageBreak/>
        <w:t>Simi</w:t>
      </w:r>
      <w:r w:rsidR="000C03AF" w:rsidRPr="00100028">
        <w:rPr>
          <w:rFonts w:asciiTheme="majorBidi" w:hAnsiTheme="majorBidi" w:cstheme="majorBidi"/>
          <w:sz w:val="24"/>
          <w:szCs w:val="24"/>
          <w:lang w:val="en-GB"/>
        </w:rPr>
        <w:t>larly, the PA</w:t>
      </w:r>
      <w:r w:rsidRPr="00100028">
        <w:rPr>
          <w:rFonts w:asciiTheme="majorBidi" w:hAnsiTheme="majorBidi" w:cstheme="majorBidi"/>
          <w:sz w:val="24"/>
          <w:szCs w:val="24"/>
          <w:lang w:val="en-GB"/>
        </w:rPr>
        <w:t xml:space="preserve"> has granted permanent </w:t>
      </w:r>
      <w:r w:rsidR="000C03AF" w:rsidRPr="00100028">
        <w:rPr>
          <w:rFonts w:asciiTheme="majorBidi" w:hAnsiTheme="majorBidi" w:cstheme="majorBidi"/>
          <w:sz w:val="24"/>
          <w:szCs w:val="24"/>
          <w:lang w:val="en-GB"/>
        </w:rPr>
        <w:t>residency in the West Bank or Gaza</w:t>
      </w:r>
      <w:r w:rsidRPr="00100028">
        <w:rPr>
          <w:rFonts w:asciiTheme="majorBidi" w:hAnsiTheme="majorBidi" w:cstheme="majorBidi"/>
          <w:sz w:val="24"/>
          <w:szCs w:val="24"/>
          <w:lang w:val="en-GB"/>
        </w:rPr>
        <w:t xml:space="preserve"> to the foreigners mentioned above. Simply put, the test for co</w:t>
      </w:r>
      <w:r w:rsidR="000C03AF" w:rsidRPr="00100028">
        <w:rPr>
          <w:rFonts w:asciiTheme="majorBidi" w:hAnsiTheme="majorBidi" w:cstheme="majorBidi"/>
          <w:sz w:val="24"/>
          <w:szCs w:val="24"/>
          <w:lang w:val="en-GB"/>
        </w:rPr>
        <w:t>nferring Palestinian citizenship</w:t>
      </w:r>
      <w:r w:rsidRPr="00100028">
        <w:rPr>
          <w:rFonts w:asciiTheme="majorBidi" w:hAnsiTheme="majorBidi" w:cstheme="majorBidi"/>
          <w:sz w:val="24"/>
          <w:szCs w:val="24"/>
          <w:lang w:val="en-GB"/>
        </w:rPr>
        <w:t xml:space="preserve"> on the inh</w:t>
      </w:r>
      <w:r w:rsidR="000C03AF" w:rsidRPr="00100028">
        <w:rPr>
          <w:rFonts w:asciiTheme="majorBidi" w:hAnsiTheme="majorBidi" w:cstheme="majorBidi"/>
          <w:sz w:val="24"/>
          <w:szCs w:val="24"/>
          <w:lang w:val="en-GB"/>
        </w:rPr>
        <w:t>abitants of the West Bank or Gaza in the citizenship</w:t>
      </w:r>
      <w:r w:rsidRPr="00100028">
        <w:rPr>
          <w:rFonts w:asciiTheme="majorBidi" w:hAnsiTheme="majorBidi" w:cstheme="majorBidi"/>
          <w:sz w:val="24"/>
          <w:szCs w:val="24"/>
          <w:lang w:val="en-GB"/>
        </w:rPr>
        <w:t xml:space="preserve"> law of the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 xml:space="preserve"> of Palestine would be the possession of Palesti</w:t>
      </w:r>
      <w:r w:rsidR="00196005" w:rsidRPr="00100028">
        <w:rPr>
          <w:rFonts w:asciiTheme="majorBidi" w:hAnsiTheme="majorBidi" w:cstheme="majorBidi"/>
          <w:sz w:val="24"/>
          <w:szCs w:val="24"/>
          <w:lang w:val="en-GB"/>
        </w:rPr>
        <w:t>nian identity cards</w:t>
      </w:r>
      <w:r w:rsidRPr="00100028">
        <w:rPr>
          <w:rFonts w:asciiTheme="majorBidi" w:hAnsiTheme="majorBidi" w:cstheme="majorBidi"/>
          <w:sz w:val="24"/>
          <w:szCs w:val="24"/>
          <w:lang w:val="en-GB"/>
        </w:rPr>
        <w:t>.</w:t>
      </w:r>
    </w:p>
    <w:p w:rsidR="00A52788" w:rsidRPr="00100028" w:rsidRDefault="00A52788" w:rsidP="00100028">
      <w:pPr>
        <w:bidi w:val="0"/>
        <w:jc w:val="both"/>
        <w:rPr>
          <w:rFonts w:asciiTheme="majorBidi" w:hAnsiTheme="majorBidi" w:cstheme="majorBidi"/>
          <w:sz w:val="24"/>
          <w:szCs w:val="24"/>
          <w:lang w:val="en-GB"/>
        </w:rPr>
      </w:pPr>
    </w:p>
    <w:p w:rsidR="00DE3862" w:rsidRPr="00100028" w:rsidRDefault="00DE3862"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In brief, t</w:t>
      </w:r>
      <w:r w:rsidR="000C03AF" w:rsidRPr="00100028">
        <w:rPr>
          <w:rFonts w:asciiTheme="majorBidi" w:hAnsiTheme="majorBidi" w:cstheme="majorBidi"/>
          <w:sz w:val="24"/>
          <w:szCs w:val="24"/>
          <w:lang w:val="en-GB"/>
        </w:rPr>
        <w:t>he new Palestinian citizenship</w:t>
      </w:r>
      <w:r w:rsidR="00A52788" w:rsidRPr="00100028">
        <w:rPr>
          <w:rFonts w:asciiTheme="majorBidi" w:hAnsiTheme="majorBidi" w:cstheme="majorBidi"/>
          <w:sz w:val="24"/>
          <w:szCs w:val="24"/>
          <w:lang w:val="en-GB"/>
        </w:rPr>
        <w:t xml:space="preserve"> would emerge, by and large, as a legalization of the pre-existing de facto</w:t>
      </w:r>
      <w:r w:rsidR="000C03AF" w:rsidRPr="00100028">
        <w:rPr>
          <w:rFonts w:asciiTheme="majorBidi" w:hAnsiTheme="majorBidi" w:cstheme="majorBidi"/>
          <w:sz w:val="24"/>
          <w:szCs w:val="24"/>
          <w:lang w:val="en-GB"/>
        </w:rPr>
        <w:t xml:space="preserve"> Palestinian citizenship in the West Bank and Gaza</w:t>
      </w:r>
      <w:r w:rsidRPr="00100028">
        <w:rPr>
          <w:rFonts w:asciiTheme="majorBidi" w:hAnsiTheme="majorBidi" w:cstheme="majorBidi"/>
          <w:sz w:val="24"/>
          <w:szCs w:val="24"/>
          <w:lang w:val="en-GB"/>
        </w:rPr>
        <w:t>.</w:t>
      </w:r>
    </w:p>
    <w:p w:rsidR="00A52788" w:rsidRPr="00100028" w:rsidRDefault="00A52788" w:rsidP="00100028">
      <w:pPr>
        <w:bidi w:val="0"/>
        <w:jc w:val="both"/>
        <w:rPr>
          <w:rFonts w:asciiTheme="majorBidi" w:hAnsiTheme="majorBidi" w:cstheme="majorBidi"/>
          <w:b/>
          <w:bCs/>
          <w:sz w:val="24"/>
          <w:szCs w:val="24"/>
          <w:lang w:val="en-GB"/>
        </w:rPr>
      </w:pPr>
    </w:p>
    <w:p w:rsidR="00A52788" w:rsidRPr="00100028" w:rsidRDefault="00A52788" w:rsidP="00100028">
      <w:pPr>
        <w:pStyle w:val="ListParagraph"/>
        <w:numPr>
          <w:ilvl w:val="0"/>
          <w:numId w:val="7"/>
        </w:numPr>
        <w:spacing w:after="0"/>
        <w:jc w:val="both"/>
        <w:rPr>
          <w:rFonts w:asciiTheme="majorBidi" w:hAnsiTheme="majorBidi" w:cstheme="majorBidi"/>
          <w:b/>
          <w:bCs/>
          <w:szCs w:val="24"/>
          <w:lang w:val="en-GB"/>
        </w:rPr>
      </w:pPr>
      <w:r w:rsidRPr="00100028">
        <w:rPr>
          <w:rFonts w:asciiTheme="majorBidi" w:hAnsiTheme="majorBidi" w:cstheme="majorBidi"/>
          <w:b/>
          <w:bCs/>
          <w:szCs w:val="24"/>
          <w:lang w:val="en-GB"/>
        </w:rPr>
        <w:t>Palestinians of East Jerusalem</w:t>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This group</w:t>
      </w:r>
      <w:r w:rsidR="00EE1657" w:rsidRPr="00100028">
        <w:rPr>
          <w:rFonts w:asciiTheme="majorBidi" w:hAnsiTheme="majorBidi" w:cstheme="majorBidi"/>
          <w:sz w:val="24"/>
          <w:szCs w:val="24"/>
          <w:lang w:val="en-GB"/>
        </w:rPr>
        <w:t xml:space="preserve"> totals</w:t>
      </w:r>
      <w:r w:rsidRPr="00100028">
        <w:rPr>
          <w:rFonts w:asciiTheme="majorBidi" w:hAnsiTheme="majorBidi" w:cstheme="majorBidi"/>
          <w:sz w:val="24"/>
          <w:szCs w:val="24"/>
          <w:lang w:val="en-GB"/>
        </w:rPr>
        <w:t xml:space="preserve"> about</w:t>
      </w:r>
      <w:r w:rsidR="00EB7CE0" w:rsidRPr="00100028">
        <w:rPr>
          <w:rFonts w:asciiTheme="majorBidi" w:hAnsiTheme="majorBidi" w:cstheme="majorBidi"/>
          <w:sz w:val="24"/>
          <w:szCs w:val="24"/>
          <w:lang w:val="en-GB"/>
        </w:rPr>
        <w:t xml:space="preserve"> 320,000 in 2015</w:t>
      </w:r>
      <w:r w:rsidR="00EE1657" w:rsidRPr="00100028">
        <w:rPr>
          <w:rFonts w:asciiTheme="majorBidi" w:hAnsiTheme="majorBidi" w:cstheme="majorBidi"/>
          <w:sz w:val="24"/>
          <w:szCs w:val="24"/>
          <w:lang w:val="en-GB"/>
        </w:rPr>
        <w:t>.</w:t>
      </w:r>
      <w:r w:rsidR="00EE1657" w:rsidRPr="00100028">
        <w:rPr>
          <w:rStyle w:val="FootnoteReference"/>
          <w:rFonts w:asciiTheme="majorBidi" w:hAnsiTheme="majorBidi" w:cstheme="majorBidi"/>
          <w:sz w:val="24"/>
          <w:szCs w:val="24"/>
          <w:lang w:val="en-GB"/>
        </w:rPr>
        <w:footnoteReference w:id="146"/>
      </w:r>
      <w:r w:rsidR="00EE1657" w:rsidRPr="00100028">
        <w:rPr>
          <w:rFonts w:asciiTheme="majorBidi" w:hAnsiTheme="majorBidi" w:cstheme="majorBidi"/>
          <w:sz w:val="24"/>
          <w:szCs w:val="24"/>
          <w:lang w:val="en-GB"/>
        </w:rPr>
        <w:t xml:space="preserve"> The</w:t>
      </w:r>
      <w:r w:rsidRPr="00100028">
        <w:rPr>
          <w:rFonts w:asciiTheme="majorBidi" w:hAnsiTheme="majorBidi" w:cstheme="majorBidi"/>
          <w:sz w:val="24"/>
          <w:szCs w:val="24"/>
          <w:lang w:val="en-GB"/>
        </w:rPr>
        <w:t xml:space="preserve"> </w:t>
      </w:r>
      <w:r w:rsidR="00EE1657" w:rsidRPr="00100028">
        <w:rPr>
          <w:rFonts w:asciiTheme="majorBidi" w:hAnsiTheme="majorBidi" w:cstheme="majorBidi"/>
          <w:sz w:val="24"/>
          <w:szCs w:val="24"/>
          <w:lang w:val="en-GB"/>
        </w:rPr>
        <w:t xml:space="preserve">group, according to international law, </w:t>
      </w:r>
      <w:r w:rsidRPr="00100028">
        <w:rPr>
          <w:rFonts w:asciiTheme="majorBidi" w:hAnsiTheme="majorBidi" w:cstheme="majorBidi"/>
          <w:sz w:val="24"/>
          <w:szCs w:val="24"/>
          <w:lang w:val="en-GB"/>
        </w:rPr>
        <w:t>forms part of the West Bank population. It is, however, considered separately here due to the particular status that Israel unilaterally created for the group after annexing East Jerusalem in 1967. The members of the group do not hold Palestinian passports and are considered by Israel</w:t>
      </w:r>
      <w:r w:rsidR="0017030E" w:rsidRPr="00100028">
        <w:rPr>
          <w:rFonts w:asciiTheme="majorBidi" w:hAnsiTheme="majorBidi" w:cstheme="majorBidi"/>
          <w:sz w:val="24"/>
          <w:szCs w:val="24"/>
          <w:lang w:val="en-GB"/>
        </w:rPr>
        <w:t>i authorities</w:t>
      </w:r>
      <w:r w:rsidRPr="00100028">
        <w:rPr>
          <w:rFonts w:asciiTheme="majorBidi" w:hAnsiTheme="majorBidi" w:cstheme="majorBidi"/>
          <w:sz w:val="24"/>
          <w:szCs w:val="24"/>
          <w:lang w:val="en-GB"/>
        </w:rPr>
        <w:t xml:space="preserve"> as permanent residents of Israel. A considerable number of East Jerusalemite Arabs have acquired Israeli </w:t>
      </w:r>
      <w:r w:rsidR="003B4898" w:rsidRPr="00100028">
        <w:rPr>
          <w:rFonts w:asciiTheme="majorBidi" w:hAnsiTheme="majorBidi" w:cstheme="majorBidi"/>
          <w:sz w:val="24"/>
          <w:szCs w:val="24"/>
          <w:lang w:val="en-GB"/>
        </w:rPr>
        <w:t>citizenship</w:t>
      </w:r>
      <w:r w:rsidR="002A6E09" w:rsidRPr="00100028">
        <w:rPr>
          <w:rFonts w:asciiTheme="majorBidi" w:hAnsiTheme="majorBidi" w:cstheme="majorBidi"/>
          <w:sz w:val="24"/>
          <w:szCs w:val="24"/>
          <w:lang w:val="en-GB"/>
        </w:rPr>
        <w:t xml:space="preserve"> pursuant to the</w:t>
      </w:r>
      <w:r w:rsidRPr="00100028">
        <w:rPr>
          <w:rFonts w:asciiTheme="majorBidi" w:hAnsiTheme="majorBidi" w:cstheme="majorBidi"/>
          <w:sz w:val="24"/>
          <w:szCs w:val="24"/>
          <w:lang w:val="en-GB"/>
        </w:rPr>
        <w:t xml:space="preserve"> Israeli Nationality Law </w:t>
      </w:r>
      <w:r w:rsidR="002A6E09" w:rsidRPr="00100028">
        <w:rPr>
          <w:rFonts w:asciiTheme="majorBidi" w:hAnsiTheme="majorBidi" w:cstheme="majorBidi"/>
          <w:sz w:val="24"/>
          <w:szCs w:val="24"/>
          <w:lang w:val="en-GB"/>
        </w:rPr>
        <w:t>of 1 April 1952 upon satisfying it</w:t>
      </w:r>
      <w:r w:rsidRPr="00100028">
        <w:rPr>
          <w:rFonts w:asciiTheme="majorBidi" w:hAnsiTheme="majorBidi" w:cstheme="majorBidi"/>
          <w:sz w:val="24"/>
          <w:szCs w:val="24"/>
          <w:lang w:val="en-GB"/>
        </w:rPr>
        <w:t>s n</w:t>
      </w:r>
      <w:r w:rsidR="002A6E09" w:rsidRPr="00100028">
        <w:rPr>
          <w:rFonts w:asciiTheme="majorBidi" w:hAnsiTheme="majorBidi" w:cstheme="majorBidi"/>
          <w:sz w:val="24"/>
          <w:szCs w:val="24"/>
          <w:lang w:val="en-GB"/>
        </w:rPr>
        <w:t>aturalization requirements:</w:t>
      </w:r>
      <w:r w:rsidRPr="00100028">
        <w:rPr>
          <w:rFonts w:asciiTheme="majorBidi" w:hAnsiTheme="majorBidi" w:cstheme="majorBidi"/>
          <w:sz w:val="24"/>
          <w:szCs w:val="24"/>
          <w:lang w:val="en-GB"/>
        </w:rPr>
        <w:t xml:space="preserve"> residency, Hebrew-language literacy, and application.</w:t>
      </w:r>
      <w:r w:rsidR="0017030E" w:rsidRPr="00100028">
        <w:rPr>
          <w:rStyle w:val="FootnoteReference"/>
          <w:rFonts w:asciiTheme="majorBidi" w:hAnsiTheme="majorBidi" w:cstheme="majorBidi"/>
          <w:sz w:val="24"/>
          <w:szCs w:val="24"/>
          <w:lang w:val="en-GB"/>
        </w:rPr>
        <w:footnoteReference w:id="147"/>
      </w: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 </w:t>
      </w:r>
    </w:p>
    <w:p w:rsidR="00AC3C32" w:rsidRPr="00100028" w:rsidRDefault="00A52788" w:rsidP="00100028">
      <w:pPr>
        <w:bidi w:val="0"/>
        <w:jc w:val="both"/>
        <w:rPr>
          <w:rFonts w:asciiTheme="majorBidi" w:hAnsiTheme="majorBidi" w:cstheme="majorBidi"/>
          <w:color w:val="000000"/>
          <w:sz w:val="24"/>
          <w:szCs w:val="24"/>
          <w:lang w:val="en-GB"/>
        </w:rPr>
      </w:pPr>
      <w:r w:rsidRPr="00100028">
        <w:rPr>
          <w:rFonts w:asciiTheme="majorBidi" w:hAnsiTheme="majorBidi" w:cstheme="majorBidi"/>
          <w:sz w:val="24"/>
          <w:szCs w:val="24"/>
          <w:lang w:val="en-GB"/>
        </w:rPr>
        <w:t>A special status for inhabitants of Jerusalem (both west and east) was envisaged in 1938 by Britain</w:t>
      </w:r>
      <w:r w:rsidR="002A6E09" w:rsidRPr="00100028">
        <w:rPr>
          <w:rFonts w:asciiTheme="majorBidi" w:hAnsiTheme="majorBidi" w:cstheme="majorBidi"/>
          <w:sz w:val="24"/>
          <w:szCs w:val="24"/>
          <w:lang w:val="en-GB"/>
        </w:rPr>
        <w:t>,</w:t>
      </w:r>
      <w:r w:rsidR="002A6E09" w:rsidRPr="00100028">
        <w:rPr>
          <w:rStyle w:val="FootnoteReference"/>
          <w:rFonts w:asciiTheme="majorBidi" w:hAnsiTheme="majorBidi" w:cstheme="majorBidi"/>
          <w:sz w:val="24"/>
          <w:szCs w:val="24"/>
          <w:lang w:val="en-GB"/>
        </w:rPr>
        <w:footnoteReference w:id="148"/>
      </w:r>
      <w:r w:rsidRPr="00100028">
        <w:rPr>
          <w:rFonts w:asciiTheme="majorBidi" w:hAnsiTheme="majorBidi" w:cstheme="majorBidi"/>
          <w:sz w:val="24"/>
          <w:szCs w:val="24"/>
          <w:lang w:val="en-GB"/>
        </w:rPr>
        <w:t xml:space="preserve"> and th</w:t>
      </w:r>
      <w:r w:rsidR="00C45D49" w:rsidRPr="00100028">
        <w:rPr>
          <w:rFonts w:asciiTheme="majorBidi" w:hAnsiTheme="majorBidi" w:cstheme="majorBidi"/>
          <w:sz w:val="24"/>
          <w:szCs w:val="24"/>
          <w:lang w:val="en-GB"/>
        </w:rPr>
        <w:t>en in 1947 by the U</w:t>
      </w:r>
      <w:r w:rsidR="00B969F9" w:rsidRPr="00100028">
        <w:rPr>
          <w:rFonts w:asciiTheme="majorBidi" w:hAnsiTheme="majorBidi" w:cstheme="majorBidi"/>
          <w:sz w:val="24"/>
          <w:szCs w:val="24"/>
          <w:lang w:val="en-GB"/>
        </w:rPr>
        <w:t xml:space="preserve">nited </w:t>
      </w:r>
      <w:r w:rsidR="00C45D49" w:rsidRPr="00100028">
        <w:rPr>
          <w:rFonts w:asciiTheme="majorBidi" w:hAnsiTheme="majorBidi" w:cstheme="majorBidi"/>
          <w:sz w:val="24"/>
          <w:szCs w:val="24"/>
          <w:lang w:val="en-GB"/>
        </w:rPr>
        <w:t>N</w:t>
      </w:r>
      <w:r w:rsidR="00B969F9" w:rsidRPr="00100028">
        <w:rPr>
          <w:rFonts w:asciiTheme="majorBidi" w:hAnsiTheme="majorBidi" w:cstheme="majorBidi"/>
          <w:sz w:val="24"/>
          <w:szCs w:val="24"/>
          <w:lang w:val="en-GB"/>
        </w:rPr>
        <w:t>ations</w:t>
      </w:r>
      <w:r w:rsidR="00AC3C32" w:rsidRPr="00100028">
        <w:rPr>
          <w:rFonts w:asciiTheme="majorBidi" w:hAnsiTheme="majorBidi" w:cstheme="majorBidi"/>
          <w:sz w:val="24"/>
          <w:szCs w:val="24"/>
          <w:lang w:val="en-GB"/>
        </w:rPr>
        <w:t xml:space="preserve"> Partition Plan.</w:t>
      </w:r>
      <w:r w:rsidR="002A6E09" w:rsidRPr="00100028">
        <w:rPr>
          <w:rStyle w:val="FootnoteReference"/>
          <w:rFonts w:asciiTheme="majorBidi" w:hAnsiTheme="majorBidi" w:cstheme="majorBidi"/>
          <w:sz w:val="24"/>
          <w:szCs w:val="24"/>
          <w:lang w:val="en-GB"/>
        </w:rPr>
        <w:footnoteReference w:id="149"/>
      </w:r>
      <w:r w:rsidRPr="00100028">
        <w:rPr>
          <w:rFonts w:asciiTheme="majorBidi" w:hAnsiTheme="majorBidi" w:cstheme="majorBidi"/>
          <w:sz w:val="24"/>
          <w:szCs w:val="24"/>
          <w:lang w:val="en-GB"/>
        </w:rPr>
        <w:t xml:space="preserve"> </w:t>
      </w:r>
      <w:r w:rsidR="00893F12"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The City of Jerusalem</w:t>
      </w:r>
      <w:r w:rsidR="007D0218" w:rsidRPr="00100028">
        <w:rPr>
          <w:rFonts w:asciiTheme="majorBidi" w:hAnsiTheme="majorBidi" w:cstheme="majorBidi"/>
          <w:sz w:val="24"/>
          <w:szCs w:val="24"/>
          <w:lang w:val="en-GB"/>
        </w:rPr>
        <w:t>”</w:t>
      </w:r>
      <w:r w:rsidRPr="00100028">
        <w:rPr>
          <w:rFonts w:asciiTheme="majorBidi" w:hAnsiTheme="majorBidi" w:cstheme="majorBidi"/>
          <w:color w:val="000000"/>
          <w:sz w:val="24"/>
          <w:szCs w:val="24"/>
          <w:lang w:val="en-GB"/>
        </w:rPr>
        <w:t xml:space="preserve"> was intended to have a special inter</w:t>
      </w:r>
      <w:r w:rsidR="00AC3C32" w:rsidRPr="00100028">
        <w:rPr>
          <w:rFonts w:asciiTheme="majorBidi" w:hAnsiTheme="majorBidi" w:cstheme="majorBidi"/>
          <w:color w:val="000000"/>
          <w:sz w:val="24"/>
          <w:szCs w:val="24"/>
          <w:lang w:val="en-GB"/>
        </w:rPr>
        <w:t>national status,</w:t>
      </w:r>
      <w:r w:rsidR="00EB7CE0" w:rsidRPr="00100028">
        <w:rPr>
          <w:rFonts w:asciiTheme="majorBidi" w:hAnsiTheme="majorBidi" w:cstheme="majorBidi"/>
          <w:color w:val="000000"/>
          <w:sz w:val="24"/>
          <w:szCs w:val="24"/>
          <w:lang w:val="en-GB"/>
        </w:rPr>
        <w:t xml:space="preserve"> </w:t>
      </w:r>
      <w:r w:rsidR="00AC3C32" w:rsidRPr="00100028">
        <w:rPr>
          <w:rFonts w:asciiTheme="majorBidi" w:hAnsiTheme="majorBidi" w:cstheme="majorBidi"/>
          <w:color w:val="000000"/>
          <w:sz w:val="24"/>
          <w:szCs w:val="24"/>
          <w:lang w:val="en-GB"/>
        </w:rPr>
        <w:t>and t</w:t>
      </w:r>
      <w:r w:rsidR="00EB7CE0" w:rsidRPr="00100028">
        <w:rPr>
          <w:rFonts w:asciiTheme="majorBidi" w:hAnsiTheme="majorBidi" w:cstheme="majorBidi"/>
          <w:color w:val="000000"/>
          <w:sz w:val="24"/>
          <w:szCs w:val="24"/>
          <w:lang w:val="en-GB"/>
        </w:rPr>
        <w:t>he citizenship</w:t>
      </w:r>
      <w:r w:rsidRPr="00100028">
        <w:rPr>
          <w:rFonts w:asciiTheme="majorBidi" w:hAnsiTheme="majorBidi" w:cstheme="majorBidi"/>
          <w:color w:val="000000"/>
          <w:sz w:val="24"/>
          <w:szCs w:val="24"/>
          <w:lang w:val="en-GB"/>
        </w:rPr>
        <w:t xml:space="preserve"> of the inhabitants was formulated accordingly.</w:t>
      </w:r>
      <w:r w:rsidR="00C25664" w:rsidRPr="00100028">
        <w:rPr>
          <w:rStyle w:val="FootnoteReference"/>
          <w:rFonts w:asciiTheme="majorBidi" w:hAnsiTheme="majorBidi" w:cstheme="majorBidi"/>
          <w:color w:val="000000"/>
          <w:sz w:val="24"/>
          <w:szCs w:val="24"/>
          <w:lang w:val="en-GB"/>
        </w:rPr>
        <w:footnoteReference w:id="150"/>
      </w:r>
      <w:r w:rsidRPr="00100028">
        <w:rPr>
          <w:rFonts w:asciiTheme="majorBidi" w:hAnsiTheme="majorBidi" w:cstheme="majorBidi"/>
          <w:color w:val="000000"/>
          <w:sz w:val="24"/>
          <w:szCs w:val="24"/>
          <w:lang w:val="en-GB"/>
        </w:rPr>
        <w:t xml:space="preserve"> The Plan c</w:t>
      </w:r>
      <w:r w:rsidR="00EB7CE0" w:rsidRPr="00100028">
        <w:rPr>
          <w:rFonts w:asciiTheme="majorBidi" w:hAnsiTheme="majorBidi" w:cstheme="majorBidi"/>
          <w:color w:val="000000"/>
          <w:sz w:val="24"/>
          <w:szCs w:val="24"/>
          <w:lang w:val="en-GB"/>
        </w:rPr>
        <w:t>onferred Jerusalem</w:t>
      </w:r>
      <w:r w:rsidR="00F130C3" w:rsidRPr="00100028">
        <w:rPr>
          <w:rFonts w:asciiTheme="majorBidi" w:hAnsiTheme="majorBidi" w:cstheme="majorBidi"/>
          <w:color w:val="000000"/>
          <w:sz w:val="24"/>
          <w:szCs w:val="24"/>
          <w:lang w:val="en-GB"/>
        </w:rPr>
        <w:t>’</w:t>
      </w:r>
      <w:r w:rsidR="00EB7CE0" w:rsidRPr="00100028">
        <w:rPr>
          <w:rFonts w:asciiTheme="majorBidi" w:hAnsiTheme="majorBidi" w:cstheme="majorBidi"/>
          <w:color w:val="000000"/>
          <w:sz w:val="24"/>
          <w:szCs w:val="24"/>
          <w:lang w:val="en-GB"/>
        </w:rPr>
        <w:t>s citizenship</w:t>
      </w:r>
      <w:r w:rsidRPr="00100028">
        <w:rPr>
          <w:rFonts w:asciiTheme="majorBidi" w:hAnsiTheme="majorBidi" w:cstheme="majorBidi"/>
          <w:color w:val="000000"/>
          <w:sz w:val="24"/>
          <w:szCs w:val="24"/>
          <w:lang w:val="en-GB"/>
        </w:rPr>
        <w:t xml:space="preserve"> with automatic effect on all residents of the city, i</w:t>
      </w:r>
      <w:r w:rsidR="00EB7CE0" w:rsidRPr="00100028">
        <w:rPr>
          <w:rFonts w:asciiTheme="majorBidi" w:hAnsiTheme="majorBidi" w:cstheme="majorBidi"/>
          <w:color w:val="000000"/>
          <w:sz w:val="24"/>
          <w:szCs w:val="24"/>
          <w:lang w:val="en-GB"/>
        </w:rPr>
        <w:t>rrespective of their citizenship</w:t>
      </w:r>
      <w:r w:rsidRPr="00100028">
        <w:rPr>
          <w:rFonts w:asciiTheme="majorBidi" w:hAnsiTheme="majorBidi" w:cstheme="majorBidi"/>
          <w:color w:val="000000"/>
          <w:sz w:val="24"/>
          <w:szCs w:val="24"/>
          <w:lang w:val="en-GB"/>
        </w:rPr>
        <w:t xml:space="preserve">, race or religion. It </w:t>
      </w:r>
      <w:r w:rsidR="002A6E09" w:rsidRPr="00100028">
        <w:rPr>
          <w:rFonts w:asciiTheme="majorBidi" w:hAnsiTheme="majorBidi" w:cstheme="majorBidi"/>
          <w:color w:val="000000"/>
          <w:sz w:val="24"/>
          <w:szCs w:val="24"/>
          <w:lang w:val="en-GB"/>
        </w:rPr>
        <w:t>s</w:t>
      </w:r>
      <w:r w:rsidR="00FE2B16" w:rsidRPr="00100028">
        <w:rPr>
          <w:rFonts w:asciiTheme="majorBidi" w:hAnsiTheme="majorBidi" w:cstheme="majorBidi"/>
          <w:color w:val="000000"/>
          <w:sz w:val="24"/>
          <w:szCs w:val="24"/>
          <w:lang w:val="en-GB"/>
        </w:rPr>
        <w:t>tate</w:t>
      </w:r>
      <w:r w:rsidRPr="00100028">
        <w:rPr>
          <w:rFonts w:asciiTheme="majorBidi" w:hAnsiTheme="majorBidi" w:cstheme="majorBidi"/>
          <w:color w:val="000000"/>
          <w:sz w:val="24"/>
          <w:szCs w:val="24"/>
          <w:lang w:val="en-GB"/>
        </w:rPr>
        <w:t xml:space="preserve">d that </w:t>
      </w:r>
      <w:r w:rsidR="00893F12"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 xml:space="preserve">all the residents shall become </w:t>
      </w:r>
      <w:r w:rsidR="003B4898"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w:t>
      </w:r>
      <w:r w:rsidR="003B4898" w:rsidRPr="00100028">
        <w:rPr>
          <w:rFonts w:asciiTheme="majorBidi" w:hAnsiTheme="majorBidi" w:cstheme="majorBidi"/>
          <w:color w:val="000000"/>
          <w:sz w:val="24"/>
          <w:szCs w:val="24"/>
          <w:lang w:val="en-GB"/>
        </w:rPr>
        <w:t>]</w:t>
      </w:r>
      <w:r w:rsidRPr="00100028">
        <w:rPr>
          <w:rFonts w:asciiTheme="majorBidi" w:hAnsiTheme="majorBidi" w:cstheme="majorBidi"/>
          <w:color w:val="000000"/>
          <w:sz w:val="24"/>
          <w:szCs w:val="24"/>
          <w:lang w:val="en-GB"/>
        </w:rPr>
        <w:t xml:space="preserve"> citizens </w:t>
      </w:r>
      <w:r w:rsidR="00AC3C32" w:rsidRPr="00100028">
        <w:rPr>
          <w:rFonts w:asciiTheme="majorBidi" w:hAnsiTheme="majorBidi" w:cstheme="majorBidi"/>
          <w:color w:val="000000"/>
          <w:sz w:val="24"/>
          <w:szCs w:val="24"/>
          <w:lang w:val="en-GB"/>
        </w:rPr>
        <w:t>of the City of Jerusalem</w:t>
      </w:r>
      <w:r w:rsidR="007D0218" w:rsidRPr="00100028">
        <w:rPr>
          <w:rFonts w:asciiTheme="majorBidi" w:hAnsiTheme="majorBidi" w:cstheme="majorBidi"/>
          <w:sz w:val="24"/>
          <w:szCs w:val="24"/>
          <w:lang w:val="en-GB"/>
        </w:rPr>
        <w:t>”</w:t>
      </w:r>
      <w:r w:rsidR="00EB7CE0" w:rsidRPr="00100028">
        <w:rPr>
          <w:rFonts w:asciiTheme="majorBidi" w:hAnsiTheme="majorBidi" w:cstheme="majorBidi"/>
          <w:color w:val="000000"/>
          <w:sz w:val="24"/>
          <w:szCs w:val="24"/>
          <w:lang w:val="en-GB"/>
        </w:rPr>
        <w:t>.</w:t>
      </w:r>
      <w:r w:rsidR="002A6E09" w:rsidRPr="00100028">
        <w:rPr>
          <w:rStyle w:val="FootnoteReference"/>
          <w:rFonts w:asciiTheme="majorBidi" w:hAnsiTheme="majorBidi" w:cstheme="majorBidi"/>
          <w:color w:val="000000"/>
          <w:sz w:val="24"/>
          <w:szCs w:val="24"/>
          <w:lang w:val="en-GB"/>
        </w:rPr>
        <w:footnoteReference w:id="151"/>
      </w:r>
      <w:r w:rsidRPr="00100028">
        <w:rPr>
          <w:rFonts w:asciiTheme="majorBidi" w:hAnsiTheme="majorBidi" w:cstheme="majorBidi"/>
          <w:color w:val="000000"/>
          <w:sz w:val="24"/>
          <w:szCs w:val="24"/>
          <w:lang w:val="en-GB"/>
        </w:rPr>
        <w:t xml:space="preserve"> The Arab and Jewish residents were given the right to opt for the </w:t>
      </w:r>
      <w:r w:rsidR="00FB0BFF" w:rsidRPr="00100028">
        <w:rPr>
          <w:rFonts w:asciiTheme="majorBidi" w:hAnsiTheme="majorBidi" w:cstheme="majorBidi"/>
          <w:color w:val="000000"/>
          <w:sz w:val="24"/>
          <w:szCs w:val="24"/>
          <w:lang w:val="en-GB"/>
        </w:rPr>
        <w:t>citizenship</w:t>
      </w:r>
      <w:r w:rsidRPr="00100028">
        <w:rPr>
          <w:rFonts w:asciiTheme="majorBidi" w:hAnsiTheme="majorBidi" w:cstheme="majorBidi"/>
          <w:color w:val="000000"/>
          <w:sz w:val="24"/>
          <w:szCs w:val="24"/>
          <w:lang w:val="en-GB"/>
        </w:rPr>
        <w:t xml:space="preserve"> of the Arab </w:t>
      </w:r>
      <w:r w:rsidR="00FE2B16" w:rsidRPr="00100028">
        <w:rPr>
          <w:rFonts w:asciiTheme="majorBidi" w:hAnsiTheme="majorBidi" w:cstheme="majorBidi"/>
          <w:color w:val="000000"/>
          <w:sz w:val="24"/>
          <w:szCs w:val="24"/>
          <w:lang w:val="en-GB"/>
        </w:rPr>
        <w:t>State</w:t>
      </w:r>
      <w:r w:rsidRPr="00100028">
        <w:rPr>
          <w:rFonts w:asciiTheme="majorBidi" w:hAnsiTheme="majorBidi" w:cstheme="majorBidi"/>
          <w:color w:val="000000"/>
          <w:sz w:val="24"/>
          <w:szCs w:val="24"/>
          <w:lang w:val="en-GB"/>
        </w:rPr>
        <w:t xml:space="preserve"> or the Jewish </w:t>
      </w:r>
      <w:r w:rsidR="00FE2B16" w:rsidRPr="00100028">
        <w:rPr>
          <w:rFonts w:asciiTheme="majorBidi" w:hAnsiTheme="majorBidi" w:cstheme="majorBidi"/>
          <w:color w:val="000000"/>
          <w:sz w:val="24"/>
          <w:szCs w:val="24"/>
          <w:lang w:val="en-GB"/>
        </w:rPr>
        <w:t>State</w:t>
      </w:r>
      <w:r w:rsidRPr="00100028">
        <w:rPr>
          <w:rFonts w:asciiTheme="majorBidi" w:hAnsiTheme="majorBidi" w:cstheme="majorBidi"/>
          <w:color w:val="000000"/>
          <w:sz w:val="24"/>
          <w:szCs w:val="24"/>
          <w:lang w:val="en-GB"/>
        </w:rPr>
        <w:t xml:space="preserve"> respectively. In such cases, the person in question would lose his or her Jerusalem </w:t>
      </w:r>
      <w:r w:rsidR="00B26676" w:rsidRPr="00100028">
        <w:rPr>
          <w:rFonts w:asciiTheme="majorBidi" w:hAnsiTheme="majorBidi" w:cstheme="majorBidi"/>
          <w:color w:val="000000"/>
          <w:sz w:val="24"/>
          <w:szCs w:val="24"/>
          <w:lang w:val="en-GB"/>
        </w:rPr>
        <w:t xml:space="preserve">citizenship </w:t>
      </w:r>
      <w:r w:rsidRPr="00100028">
        <w:rPr>
          <w:rFonts w:asciiTheme="majorBidi" w:hAnsiTheme="majorBidi" w:cstheme="majorBidi"/>
          <w:color w:val="000000"/>
          <w:sz w:val="24"/>
          <w:szCs w:val="24"/>
          <w:lang w:val="en-GB"/>
        </w:rPr>
        <w:t>status and beco</w:t>
      </w:r>
      <w:r w:rsidR="00FB0BFF" w:rsidRPr="00100028">
        <w:rPr>
          <w:rFonts w:asciiTheme="majorBidi" w:hAnsiTheme="majorBidi" w:cstheme="majorBidi"/>
          <w:color w:val="000000"/>
          <w:sz w:val="24"/>
          <w:szCs w:val="24"/>
          <w:lang w:val="en-GB"/>
        </w:rPr>
        <w:t>me a citizen of either the Arab or</w:t>
      </w:r>
      <w:r w:rsidRPr="00100028">
        <w:rPr>
          <w:rFonts w:asciiTheme="majorBidi" w:hAnsiTheme="majorBidi" w:cstheme="majorBidi"/>
          <w:color w:val="000000"/>
          <w:sz w:val="24"/>
          <w:szCs w:val="24"/>
          <w:lang w:val="en-GB"/>
        </w:rPr>
        <w:t xml:space="preserve"> Jewish </w:t>
      </w:r>
      <w:r w:rsidR="00FE2B16" w:rsidRPr="00100028">
        <w:rPr>
          <w:rFonts w:asciiTheme="majorBidi" w:hAnsiTheme="majorBidi" w:cstheme="majorBidi"/>
          <w:color w:val="000000"/>
          <w:sz w:val="24"/>
          <w:szCs w:val="24"/>
          <w:lang w:val="en-GB"/>
        </w:rPr>
        <w:t>State</w:t>
      </w:r>
      <w:r w:rsidR="00FB0BFF" w:rsidRPr="00100028">
        <w:rPr>
          <w:rFonts w:asciiTheme="majorBidi" w:hAnsiTheme="majorBidi" w:cstheme="majorBidi"/>
          <w:color w:val="000000"/>
          <w:sz w:val="24"/>
          <w:szCs w:val="24"/>
          <w:lang w:val="en-GB"/>
        </w:rPr>
        <w:t>.</w:t>
      </w:r>
      <w:r w:rsidR="00526E74" w:rsidRPr="00100028">
        <w:rPr>
          <w:rStyle w:val="FootnoteReference"/>
          <w:rFonts w:asciiTheme="majorBidi" w:hAnsiTheme="majorBidi" w:cstheme="majorBidi"/>
          <w:color w:val="000000"/>
          <w:sz w:val="24"/>
          <w:szCs w:val="24"/>
          <w:lang w:val="en-GB"/>
        </w:rPr>
        <w:footnoteReference w:id="152"/>
      </w:r>
      <w:r w:rsidR="00526E74" w:rsidRPr="00100028">
        <w:rPr>
          <w:rFonts w:asciiTheme="majorBidi" w:hAnsiTheme="majorBidi" w:cstheme="majorBidi"/>
          <w:color w:val="000000"/>
          <w:sz w:val="24"/>
          <w:szCs w:val="24"/>
          <w:lang w:val="en-GB"/>
        </w:rPr>
        <w:t xml:space="preserve"> By the end of 1944, the settled population of east and west Jerusalem numbered 240,880. Of these, 140,530 were Arabs and 100,200 Jews, and there were 150 others.</w:t>
      </w:r>
      <w:r w:rsidR="00526E74" w:rsidRPr="00100028">
        <w:rPr>
          <w:rStyle w:val="FootnoteReference"/>
          <w:rFonts w:asciiTheme="majorBidi" w:hAnsiTheme="majorBidi" w:cstheme="majorBidi"/>
          <w:color w:val="000000"/>
          <w:sz w:val="24"/>
          <w:szCs w:val="24"/>
          <w:lang w:val="en-GB"/>
        </w:rPr>
        <w:footnoteReference w:id="153"/>
      </w:r>
    </w:p>
    <w:p w:rsidR="00AC3C32" w:rsidRPr="00100028" w:rsidRDefault="00AC3C32" w:rsidP="00100028">
      <w:pPr>
        <w:bidi w:val="0"/>
        <w:jc w:val="both"/>
        <w:rPr>
          <w:rFonts w:asciiTheme="majorBidi" w:hAnsiTheme="majorBidi" w:cstheme="majorBidi"/>
          <w:color w:val="000000"/>
          <w:sz w:val="24"/>
          <w:szCs w:val="24"/>
          <w:lang w:val="en-GB"/>
        </w:rPr>
      </w:pPr>
    </w:p>
    <w:p w:rsidR="00A52788" w:rsidRPr="00100028" w:rsidRDefault="00B26676" w:rsidP="00100028">
      <w:pPr>
        <w:bidi w:val="0"/>
        <w:jc w:val="both"/>
        <w:rPr>
          <w:rFonts w:asciiTheme="majorBidi" w:hAnsiTheme="majorBidi" w:cstheme="majorBidi"/>
          <w:color w:val="000000"/>
          <w:sz w:val="24"/>
          <w:szCs w:val="24"/>
          <w:lang w:val="en-GB"/>
        </w:rPr>
      </w:pPr>
      <w:r w:rsidRPr="00100028">
        <w:rPr>
          <w:rFonts w:asciiTheme="majorBidi" w:hAnsiTheme="majorBidi" w:cstheme="majorBidi"/>
          <w:color w:val="000000"/>
          <w:sz w:val="24"/>
          <w:szCs w:val="24"/>
          <w:lang w:val="en-GB"/>
        </w:rPr>
        <w:t>However, as the Plan was never</w:t>
      </w:r>
      <w:r w:rsidR="00A52788" w:rsidRPr="00100028">
        <w:rPr>
          <w:rFonts w:asciiTheme="majorBidi" w:hAnsiTheme="majorBidi" w:cstheme="majorBidi"/>
          <w:color w:val="000000"/>
          <w:sz w:val="24"/>
          <w:szCs w:val="24"/>
          <w:lang w:val="en-GB"/>
        </w:rPr>
        <w:t xml:space="preserve"> implemented,</w:t>
      </w:r>
      <w:r w:rsidR="00DA6DF5" w:rsidRPr="00100028">
        <w:rPr>
          <w:rStyle w:val="FootnoteReference"/>
          <w:rFonts w:asciiTheme="majorBidi" w:hAnsiTheme="majorBidi" w:cstheme="majorBidi"/>
          <w:color w:val="000000"/>
          <w:sz w:val="24"/>
          <w:szCs w:val="24"/>
          <w:lang w:val="en-GB"/>
        </w:rPr>
        <w:footnoteReference w:id="154"/>
      </w:r>
      <w:r w:rsidR="00A52788" w:rsidRPr="00100028">
        <w:rPr>
          <w:rFonts w:asciiTheme="majorBidi" w:hAnsiTheme="majorBidi" w:cstheme="majorBidi"/>
          <w:color w:val="000000"/>
          <w:sz w:val="24"/>
          <w:szCs w:val="24"/>
          <w:lang w:val="en-GB"/>
        </w:rPr>
        <w:t xml:space="preserve"> Jordan annexed the eastern part of Jerusalem which fell under its control in </w:t>
      </w:r>
      <w:r w:rsidR="00FB0BFF" w:rsidRPr="00100028">
        <w:rPr>
          <w:rFonts w:asciiTheme="majorBidi" w:hAnsiTheme="majorBidi" w:cstheme="majorBidi"/>
          <w:color w:val="000000"/>
          <w:sz w:val="24"/>
          <w:szCs w:val="24"/>
          <w:lang w:val="en-GB"/>
        </w:rPr>
        <w:t>1948 and granted its citizenship</w:t>
      </w:r>
      <w:r w:rsidR="00A52788" w:rsidRPr="00100028">
        <w:rPr>
          <w:rFonts w:asciiTheme="majorBidi" w:hAnsiTheme="majorBidi" w:cstheme="majorBidi"/>
          <w:color w:val="000000"/>
          <w:sz w:val="24"/>
          <w:szCs w:val="24"/>
          <w:lang w:val="en-GB"/>
        </w:rPr>
        <w:t xml:space="preserve"> to East Jerusalem</w:t>
      </w:r>
      <w:r w:rsidR="00F130C3" w:rsidRPr="00100028">
        <w:rPr>
          <w:rFonts w:asciiTheme="majorBidi" w:hAnsiTheme="majorBidi" w:cstheme="majorBidi"/>
          <w:color w:val="000000"/>
          <w:sz w:val="24"/>
          <w:szCs w:val="24"/>
          <w:lang w:val="en-GB"/>
        </w:rPr>
        <w:t>’</w:t>
      </w:r>
      <w:r w:rsidR="00A52788" w:rsidRPr="00100028">
        <w:rPr>
          <w:rFonts w:asciiTheme="majorBidi" w:hAnsiTheme="majorBidi" w:cstheme="majorBidi"/>
          <w:color w:val="000000"/>
          <w:sz w:val="24"/>
          <w:szCs w:val="24"/>
          <w:lang w:val="en-GB"/>
        </w:rPr>
        <w:t xml:space="preserve">s inhabitants on the same basis </w:t>
      </w:r>
      <w:r w:rsidRPr="00100028">
        <w:rPr>
          <w:rFonts w:asciiTheme="majorBidi" w:hAnsiTheme="majorBidi" w:cstheme="majorBidi"/>
          <w:color w:val="000000"/>
          <w:sz w:val="24"/>
          <w:szCs w:val="24"/>
          <w:lang w:val="en-GB"/>
        </w:rPr>
        <w:t>as the rest of the West Bankers (above).</w:t>
      </w:r>
      <w:r w:rsidR="00A52788" w:rsidRPr="00100028">
        <w:rPr>
          <w:rFonts w:asciiTheme="majorBidi" w:hAnsiTheme="majorBidi" w:cstheme="majorBidi"/>
          <w:color w:val="000000"/>
          <w:sz w:val="24"/>
          <w:szCs w:val="24"/>
          <w:lang w:val="en-GB"/>
        </w:rPr>
        <w:t xml:space="preserve"> The western side of the city became part of the </w:t>
      </w:r>
      <w:r w:rsidR="00FE2B16" w:rsidRPr="00100028">
        <w:rPr>
          <w:rFonts w:asciiTheme="majorBidi" w:hAnsiTheme="majorBidi" w:cstheme="majorBidi"/>
          <w:color w:val="000000"/>
          <w:sz w:val="24"/>
          <w:szCs w:val="24"/>
          <w:lang w:val="en-GB"/>
        </w:rPr>
        <w:t>State</w:t>
      </w:r>
      <w:r w:rsidR="00A52788" w:rsidRPr="00100028">
        <w:rPr>
          <w:rFonts w:asciiTheme="majorBidi" w:hAnsiTheme="majorBidi" w:cstheme="majorBidi"/>
          <w:color w:val="000000"/>
          <w:sz w:val="24"/>
          <w:szCs w:val="24"/>
          <w:lang w:val="en-GB"/>
        </w:rPr>
        <w:t xml:space="preserve"> of Israel since Israel control</w:t>
      </w:r>
      <w:r w:rsidRPr="00100028">
        <w:rPr>
          <w:rFonts w:asciiTheme="majorBidi" w:hAnsiTheme="majorBidi" w:cstheme="majorBidi"/>
          <w:color w:val="000000"/>
          <w:sz w:val="24"/>
          <w:szCs w:val="24"/>
          <w:lang w:val="en-GB"/>
        </w:rPr>
        <w:t xml:space="preserve">led </w:t>
      </w:r>
      <w:r w:rsidRPr="00100028">
        <w:rPr>
          <w:rFonts w:asciiTheme="majorBidi" w:hAnsiTheme="majorBidi" w:cstheme="majorBidi"/>
          <w:color w:val="000000"/>
          <w:sz w:val="24"/>
          <w:szCs w:val="24"/>
          <w:lang w:val="en-GB"/>
        </w:rPr>
        <w:lastRenderedPageBreak/>
        <w:t>that side</w:t>
      </w:r>
      <w:r w:rsidR="00A52788" w:rsidRPr="00100028">
        <w:rPr>
          <w:rFonts w:asciiTheme="majorBidi" w:hAnsiTheme="majorBidi" w:cstheme="majorBidi"/>
          <w:color w:val="000000"/>
          <w:sz w:val="24"/>
          <w:szCs w:val="24"/>
          <w:lang w:val="en-GB"/>
        </w:rPr>
        <w:t xml:space="preserve"> and granted its Jewish</w:t>
      </w:r>
      <w:r w:rsidR="00FB0BFF" w:rsidRPr="00100028">
        <w:rPr>
          <w:rFonts w:asciiTheme="majorBidi" w:hAnsiTheme="majorBidi" w:cstheme="majorBidi"/>
          <w:color w:val="000000"/>
          <w:sz w:val="24"/>
          <w:szCs w:val="24"/>
          <w:lang w:val="en-GB"/>
        </w:rPr>
        <w:t xml:space="preserve"> inhabitants Israeli citizenship</w:t>
      </w:r>
      <w:r w:rsidR="00A52788" w:rsidRPr="00100028">
        <w:rPr>
          <w:rFonts w:asciiTheme="majorBidi" w:hAnsiTheme="majorBidi" w:cstheme="majorBidi"/>
          <w:color w:val="000000"/>
          <w:sz w:val="24"/>
          <w:szCs w:val="24"/>
          <w:lang w:val="en-GB"/>
        </w:rPr>
        <w:t>. The Arab inhabitants of West Jerusalem</w:t>
      </w:r>
      <w:r w:rsidR="009C2DBD" w:rsidRPr="00100028">
        <w:rPr>
          <w:rFonts w:asciiTheme="majorBidi" w:hAnsiTheme="majorBidi" w:cstheme="majorBidi"/>
          <w:color w:val="000000"/>
          <w:sz w:val="24"/>
          <w:szCs w:val="24"/>
          <w:lang w:val="en-GB"/>
        </w:rPr>
        <w:t xml:space="preserve">, </w:t>
      </w:r>
      <w:r w:rsidR="00B30C99" w:rsidRPr="00100028">
        <w:rPr>
          <w:rFonts w:asciiTheme="majorBidi" w:hAnsiTheme="majorBidi" w:cstheme="majorBidi"/>
          <w:color w:val="000000"/>
          <w:sz w:val="24"/>
          <w:szCs w:val="24"/>
          <w:lang w:val="en-GB"/>
        </w:rPr>
        <w:t>like the vast majority</w:t>
      </w:r>
      <w:r w:rsidR="009C2DBD" w:rsidRPr="00100028">
        <w:rPr>
          <w:rFonts w:asciiTheme="majorBidi" w:hAnsiTheme="majorBidi" w:cstheme="majorBidi"/>
          <w:color w:val="000000"/>
          <w:sz w:val="24"/>
          <w:szCs w:val="24"/>
          <w:lang w:val="en-GB"/>
        </w:rPr>
        <w:t xml:space="preserve"> of Arabs </w:t>
      </w:r>
      <w:r w:rsidR="00B30C99" w:rsidRPr="00100028">
        <w:rPr>
          <w:rFonts w:asciiTheme="majorBidi" w:hAnsiTheme="majorBidi" w:cstheme="majorBidi"/>
          <w:color w:val="000000"/>
          <w:sz w:val="24"/>
          <w:szCs w:val="24"/>
          <w:lang w:val="en-GB"/>
        </w:rPr>
        <w:t>who were residing in the area of Palestine in which Israel took control</w:t>
      </w:r>
      <w:r w:rsidR="009C2DBD" w:rsidRPr="00100028">
        <w:rPr>
          <w:rFonts w:asciiTheme="majorBidi" w:hAnsiTheme="majorBidi" w:cstheme="majorBidi"/>
          <w:color w:val="000000"/>
          <w:sz w:val="24"/>
          <w:szCs w:val="24"/>
          <w:lang w:val="en-GB"/>
        </w:rPr>
        <w:t>,</w:t>
      </w:r>
      <w:r w:rsidR="00B30C99" w:rsidRPr="00100028">
        <w:rPr>
          <w:rFonts w:asciiTheme="majorBidi" w:hAnsiTheme="majorBidi" w:cstheme="majorBidi"/>
          <w:color w:val="000000"/>
          <w:sz w:val="24"/>
          <w:szCs w:val="24"/>
          <w:lang w:val="en-GB"/>
        </w:rPr>
        <w:t xml:space="preserve"> were expelled and become refugees.</w:t>
      </w:r>
      <w:r w:rsidR="00B30C99" w:rsidRPr="00100028">
        <w:rPr>
          <w:rStyle w:val="FootnoteReference"/>
          <w:rFonts w:asciiTheme="majorBidi" w:hAnsiTheme="majorBidi" w:cstheme="majorBidi"/>
          <w:color w:val="000000"/>
          <w:sz w:val="24"/>
          <w:szCs w:val="24"/>
          <w:lang w:val="en-GB"/>
        </w:rPr>
        <w:footnoteReference w:id="155"/>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After its occ</w:t>
      </w:r>
      <w:r w:rsidR="00FB0BFF" w:rsidRPr="00100028">
        <w:rPr>
          <w:rFonts w:asciiTheme="majorBidi" w:hAnsiTheme="majorBidi" w:cstheme="majorBidi"/>
          <w:sz w:val="24"/>
          <w:szCs w:val="24"/>
          <w:lang w:val="en-GB"/>
        </w:rPr>
        <w:t>upation of the West Bank</w:t>
      </w:r>
      <w:r w:rsidRPr="00100028">
        <w:rPr>
          <w:rFonts w:asciiTheme="majorBidi" w:hAnsiTheme="majorBidi" w:cstheme="majorBidi"/>
          <w:sz w:val="24"/>
          <w:szCs w:val="24"/>
          <w:lang w:val="en-GB"/>
        </w:rPr>
        <w:t>, Israel annexed Ea</w:t>
      </w:r>
      <w:r w:rsidR="00600A57" w:rsidRPr="00100028">
        <w:rPr>
          <w:rFonts w:asciiTheme="majorBidi" w:hAnsiTheme="majorBidi" w:cstheme="majorBidi"/>
          <w:sz w:val="24"/>
          <w:szCs w:val="24"/>
          <w:lang w:val="en-GB"/>
        </w:rPr>
        <w:t>st Jerusalem</w:t>
      </w:r>
      <w:r w:rsidR="00B30C99" w:rsidRPr="00100028">
        <w:rPr>
          <w:rFonts w:asciiTheme="majorBidi" w:hAnsiTheme="majorBidi" w:cstheme="majorBidi"/>
          <w:sz w:val="24"/>
          <w:szCs w:val="24"/>
          <w:lang w:val="en-GB"/>
        </w:rPr>
        <w:t xml:space="preserve"> and considered it an Israeli territory</w:t>
      </w:r>
      <w:r w:rsidRPr="00100028">
        <w:rPr>
          <w:rFonts w:asciiTheme="majorBidi" w:hAnsiTheme="majorBidi" w:cstheme="majorBidi"/>
          <w:sz w:val="24"/>
          <w:szCs w:val="24"/>
          <w:lang w:val="en-GB"/>
        </w:rPr>
        <w:t>.</w:t>
      </w:r>
      <w:r w:rsidR="001D6AEC" w:rsidRPr="00100028">
        <w:rPr>
          <w:rStyle w:val="FootnoteReference"/>
          <w:rFonts w:asciiTheme="majorBidi" w:hAnsiTheme="majorBidi" w:cstheme="majorBidi"/>
          <w:sz w:val="24"/>
          <w:szCs w:val="24"/>
          <w:lang w:val="en-GB"/>
        </w:rPr>
        <w:footnoteReference w:id="156"/>
      </w:r>
      <w:r w:rsidRPr="00100028">
        <w:rPr>
          <w:rFonts w:asciiTheme="majorBidi" w:hAnsiTheme="majorBidi" w:cstheme="majorBidi"/>
          <w:sz w:val="24"/>
          <w:szCs w:val="24"/>
          <w:lang w:val="en-GB"/>
        </w:rPr>
        <w:t xml:space="preserve"> The international community did not recognize the annexation of East Jerusalem, adopting a number of Security Council and General Assembly resolutions to that effect.</w:t>
      </w:r>
      <w:r w:rsidR="00620888" w:rsidRPr="00100028">
        <w:rPr>
          <w:rStyle w:val="FootnoteReference"/>
          <w:rFonts w:asciiTheme="majorBidi" w:hAnsiTheme="majorBidi" w:cstheme="majorBidi"/>
          <w:sz w:val="24"/>
          <w:szCs w:val="24"/>
          <w:lang w:val="en-GB"/>
        </w:rPr>
        <w:footnoteReference w:id="157"/>
      </w:r>
      <w:r w:rsidR="00B26676" w:rsidRPr="00100028">
        <w:rPr>
          <w:rFonts w:asciiTheme="majorBidi" w:hAnsiTheme="majorBidi" w:cstheme="majorBidi"/>
          <w:sz w:val="24"/>
          <w:szCs w:val="24"/>
          <w:lang w:val="en-GB"/>
        </w:rPr>
        <w:t xml:space="preserve"> No</w:t>
      </w:r>
      <w:r w:rsidRPr="00100028">
        <w:rPr>
          <w:rFonts w:asciiTheme="majorBidi" w:hAnsiTheme="majorBidi" w:cstheme="majorBidi"/>
          <w:sz w:val="24"/>
          <w:szCs w:val="24"/>
          <w:lang w:val="en-GB"/>
        </w:rPr>
        <w:t xml:space="preserve"> </w:t>
      </w:r>
      <w:r w:rsidR="00FE2B16" w:rsidRPr="00100028">
        <w:rPr>
          <w:rFonts w:asciiTheme="majorBidi" w:hAnsiTheme="majorBidi" w:cstheme="majorBidi"/>
          <w:sz w:val="24"/>
          <w:szCs w:val="24"/>
          <w:lang w:val="en-GB"/>
        </w:rPr>
        <w:t>State</w:t>
      </w:r>
      <w:r w:rsidR="00B26676" w:rsidRPr="00100028">
        <w:rPr>
          <w:rFonts w:asciiTheme="majorBidi" w:hAnsiTheme="majorBidi" w:cstheme="majorBidi"/>
          <w:sz w:val="24"/>
          <w:szCs w:val="24"/>
          <w:lang w:val="en-GB"/>
        </w:rPr>
        <w:t xml:space="preserve"> does</w:t>
      </w:r>
      <w:r w:rsidRPr="00100028">
        <w:rPr>
          <w:rFonts w:asciiTheme="majorBidi" w:hAnsiTheme="majorBidi" w:cstheme="majorBidi"/>
          <w:sz w:val="24"/>
          <w:szCs w:val="24"/>
          <w:lang w:val="en-GB"/>
        </w:rPr>
        <w:t xml:space="preserve"> recognize Jerusalem as the capital of Israel.</w:t>
      </w:r>
      <w:r w:rsidR="002A6E09" w:rsidRPr="00100028">
        <w:rPr>
          <w:rStyle w:val="FootnoteReference"/>
          <w:rFonts w:asciiTheme="majorBidi" w:hAnsiTheme="majorBidi" w:cstheme="majorBidi"/>
          <w:sz w:val="24"/>
          <w:szCs w:val="24"/>
          <w:lang w:val="en-GB"/>
        </w:rPr>
        <w:footnoteReference w:id="158"/>
      </w:r>
      <w:r w:rsidRPr="00100028">
        <w:rPr>
          <w:rFonts w:asciiTheme="majorBidi" w:hAnsiTheme="majorBidi" w:cstheme="majorBidi"/>
          <w:sz w:val="24"/>
          <w:szCs w:val="24"/>
          <w:lang w:val="en-GB"/>
        </w:rPr>
        <w:t xml:space="preserve"> However, Israel closed off Jerusalem from the rest of the West</w:t>
      </w:r>
      <w:r w:rsidR="00FB0BFF" w:rsidRPr="00100028">
        <w:rPr>
          <w:rFonts w:asciiTheme="majorBidi" w:hAnsiTheme="majorBidi" w:cstheme="majorBidi"/>
          <w:sz w:val="24"/>
          <w:szCs w:val="24"/>
          <w:lang w:val="en-GB"/>
        </w:rPr>
        <w:t xml:space="preserve"> Bank.</w:t>
      </w:r>
      <w:r w:rsidR="00600A57" w:rsidRPr="00100028">
        <w:rPr>
          <w:rStyle w:val="FootnoteReference"/>
          <w:rFonts w:asciiTheme="majorBidi" w:hAnsiTheme="majorBidi" w:cstheme="majorBidi"/>
          <w:sz w:val="24"/>
          <w:szCs w:val="24"/>
          <w:lang w:val="en-GB"/>
        </w:rPr>
        <w:footnoteReference w:id="159"/>
      </w:r>
      <w:r w:rsidR="00FB0BFF" w:rsidRPr="00100028">
        <w:rPr>
          <w:rFonts w:asciiTheme="majorBidi" w:hAnsiTheme="majorBidi" w:cstheme="majorBidi"/>
          <w:sz w:val="24"/>
          <w:szCs w:val="24"/>
          <w:lang w:val="en-GB"/>
        </w:rPr>
        <w:t xml:space="preserve"> West Bankers now require</w:t>
      </w:r>
      <w:r w:rsidRPr="00100028">
        <w:rPr>
          <w:rFonts w:asciiTheme="majorBidi" w:hAnsiTheme="majorBidi" w:cstheme="majorBidi"/>
          <w:sz w:val="24"/>
          <w:szCs w:val="24"/>
          <w:lang w:val="en-GB"/>
        </w:rPr>
        <w:t xml:space="preserve"> </w:t>
      </w:r>
      <w:r w:rsidR="002A6E09" w:rsidRPr="00100028">
        <w:rPr>
          <w:rFonts w:asciiTheme="majorBidi" w:hAnsiTheme="majorBidi" w:cstheme="majorBidi"/>
          <w:sz w:val="24"/>
          <w:szCs w:val="24"/>
          <w:lang w:val="en-GB"/>
        </w:rPr>
        <w:t xml:space="preserve">permits to enter </w:t>
      </w:r>
      <w:r w:rsidR="00B26676" w:rsidRPr="00100028">
        <w:rPr>
          <w:rFonts w:asciiTheme="majorBidi" w:hAnsiTheme="majorBidi" w:cstheme="majorBidi"/>
          <w:sz w:val="24"/>
          <w:szCs w:val="24"/>
          <w:lang w:val="en-GB"/>
        </w:rPr>
        <w:t xml:space="preserve">East </w:t>
      </w:r>
      <w:r w:rsidR="002A6E09" w:rsidRPr="00100028">
        <w:rPr>
          <w:rFonts w:asciiTheme="majorBidi" w:hAnsiTheme="majorBidi" w:cstheme="majorBidi"/>
          <w:sz w:val="24"/>
          <w:szCs w:val="24"/>
          <w:lang w:val="en-GB"/>
        </w:rPr>
        <w:t>Jerusalem,</w:t>
      </w:r>
      <w:r w:rsidR="00B30C99" w:rsidRPr="00100028">
        <w:rPr>
          <w:rFonts w:asciiTheme="majorBidi" w:hAnsiTheme="majorBidi" w:cstheme="majorBidi"/>
          <w:sz w:val="24"/>
          <w:szCs w:val="24"/>
          <w:lang w:val="en-GB"/>
        </w:rPr>
        <w:t xml:space="preserve"> like other parts of Israel.</w:t>
      </w:r>
    </w:p>
    <w:p w:rsidR="00B30C99" w:rsidRPr="00100028" w:rsidRDefault="00B30C99"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Israel did not annex the Arab </w:t>
      </w:r>
      <w:r w:rsidR="00B26676" w:rsidRPr="00100028">
        <w:rPr>
          <w:rFonts w:asciiTheme="majorBidi" w:hAnsiTheme="majorBidi" w:cstheme="majorBidi"/>
          <w:sz w:val="24"/>
          <w:szCs w:val="24"/>
          <w:lang w:val="en-GB"/>
        </w:rPr>
        <w:t>inhabitants of East Jerusalem, not it</w:t>
      </w:r>
      <w:r w:rsidR="00FB0BFF" w:rsidRPr="00100028">
        <w:rPr>
          <w:rFonts w:asciiTheme="majorBidi" w:hAnsiTheme="majorBidi" w:cstheme="majorBidi"/>
          <w:sz w:val="24"/>
          <w:szCs w:val="24"/>
          <w:lang w:val="en-GB"/>
        </w:rPr>
        <w:t xml:space="preserve"> confer</w:t>
      </w:r>
      <w:r w:rsidR="00B26676" w:rsidRPr="00100028">
        <w:rPr>
          <w:rFonts w:asciiTheme="majorBidi" w:hAnsiTheme="majorBidi" w:cstheme="majorBidi"/>
          <w:sz w:val="24"/>
          <w:szCs w:val="24"/>
          <w:lang w:val="en-GB"/>
        </w:rPr>
        <w:t>red</w:t>
      </w:r>
      <w:r w:rsidR="00FB0BFF" w:rsidRPr="00100028">
        <w:rPr>
          <w:rFonts w:asciiTheme="majorBidi" w:hAnsiTheme="majorBidi" w:cstheme="majorBidi"/>
          <w:sz w:val="24"/>
          <w:szCs w:val="24"/>
          <w:lang w:val="en-GB"/>
        </w:rPr>
        <w:t xml:space="preserve"> its citizenship</w:t>
      </w:r>
      <w:r w:rsidRPr="00100028">
        <w:rPr>
          <w:rFonts w:asciiTheme="majorBidi" w:hAnsiTheme="majorBidi" w:cstheme="majorBidi"/>
          <w:sz w:val="24"/>
          <w:szCs w:val="24"/>
          <w:lang w:val="en-GB"/>
        </w:rPr>
        <w:t xml:space="preserve"> on them. </w:t>
      </w:r>
      <w:r w:rsidR="00B26676" w:rsidRPr="00100028">
        <w:rPr>
          <w:rFonts w:asciiTheme="majorBidi" w:hAnsiTheme="majorBidi" w:cstheme="majorBidi"/>
          <w:sz w:val="24"/>
          <w:szCs w:val="24"/>
          <w:lang w:val="en-GB"/>
        </w:rPr>
        <w:t>Simultaneously, it did not</w:t>
      </w:r>
      <w:r w:rsidRPr="00100028">
        <w:rPr>
          <w:rFonts w:asciiTheme="majorBidi" w:hAnsiTheme="majorBidi" w:cstheme="majorBidi"/>
          <w:sz w:val="24"/>
          <w:szCs w:val="24"/>
          <w:lang w:val="en-GB"/>
        </w:rPr>
        <w:t xml:space="preserve"> treat them as West Bankers or Gazans in terms of residency. The inhabitants</w:t>
      </w:r>
      <w:r w:rsidR="00FB0BFF" w:rsidRPr="00100028">
        <w:rPr>
          <w:rFonts w:asciiTheme="majorBidi" w:hAnsiTheme="majorBidi" w:cstheme="majorBidi"/>
          <w:sz w:val="24"/>
          <w:szCs w:val="24"/>
          <w:lang w:val="en-GB"/>
        </w:rPr>
        <w:t xml:space="preserve"> who remained in Jerusalem after the occupation and were</w:t>
      </w:r>
      <w:r w:rsidRPr="00100028">
        <w:rPr>
          <w:rFonts w:asciiTheme="majorBidi" w:hAnsiTheme="majorBidi" w:cstheme="majorBidi"/>
          <w:sz w:val="24"/>
          <w:szCs w:val="24"/>
          <w:lang w:val="en-GB"/>
        </w:rPr>
        <w:t xml:space="preserve"> counted in the Israeli census conducted on 19 June 1967, were deemed to be foreigners permanently residing in Israel. Israel provided them with blue identity cards as a permit for permanent residency. Inhabitants could acquire an Israeli travel document (</w:t>
      </w:r>
      <w:r w:rsidRPr="00100028">
        <w:rPr>
          <w:rFonts w:asciiTheme="majorBidi" w:hAnsiTheme="majorBidi" w:cstheme="majorBidi"/>
          <w:i/>
          <w:iCs/>
          <w:sz w:val="24"/>
          <w:szCs w:val="24"/>
          <w:lang w:val="en-GB"/>
        </w:rPr>
        <w:t>laissez passer</w:t>
      </w:r>
      <w:r w:rsidR="00FB0BFF" w:rsidRPr="00100028">
        <w:rPr>
          <w:rFonts w:asciiTheme="majorBidi" w:hAnsiTheme="majorBidi" w:cstheme="majorBidi"/>
          <w:sz w:val="24"/>
          <w:szCs w:val="24"/>
          <w:lang w:val="en-GB"/>
        </w:rPr>
        <w:t>), which i</w:t>
      </w:r>
      <w:r w:rsidRPr="00100028">
        <w:rPr>
          <w:rFonts w:asciiTheme="majorBidi" w:hAnsiTheme="majorBidi" w:cstheme="majorBidi"/>
          <w:sz w:val="24"/>
          <w:szCs w:val="24"/>
          <w:lang w:val="en-GB"/>
        </w:rPr>
        <w:t>s valid for three years, to travel abroad.</w:t>
      </w:r>
      <w:r w:rsidR="008C2447" w:rsidRPr="00100028">
        <w:rPr>
          <w:rFonts w:asciiTheme="majorBidi" w:hAnsiTheme="majorBidi" w:cstheme="majorBidi"/>
          <w:sz w:val="24"/>
          <w:szCs w:val="24"/>
          <w:lang w:val="en-GB"/>
        </w:rPr>
        <w:t xml:space="preserve"> Jerusalem</w:t>
      </w:r>
      <w:r w:rsidRPr="00100028">
        <w:rPr>
          <w:rFonts w:asciiTheme="majorBidi" w:hAnsiTheme="majorBidi" w:cstheme="majorBidi"/>
          <w:sz w:val="24"/>
          <w:szCs w:val="24"/>
          <w:lang w:val="en-GB"/>
        </w:rPr>
        <w:t xml:space="preserve"> inhabitants could participate in the Jerusalem local (municipality) elections, live anywhere in Israel, and acquire social security benefits such as pension </w:t>
      </w:r>
      <w:r w:rsidR="00FB0BFF" w:rsidRPr="00100028">
        <w:rPr>
          <w:rFonts w:asciiTheme="majorBidi" w:hAnsiTheme="majorBidi" w:cstheme="majorBidi"/>
          <w:sz w:val="24"/>
          <w:szCs w:val="24"/>
          <w:lang w:val="en-GB"/>
        </w:rPr>
        <w:t>and health insurance. They pay tax</w:t>
      </w:r>
      <w:r w:rsidRPr="00100028">
        <w:rPr>
          <w:rFonts w:asciiTheme="majorBidi" w:hAnsiTheme="majorBidi" w:cstheme="majorBidi"/>
          <w:sz w:val="24"/>
          <w:szCs w:val="24"/>
          <w:lang w:val="en-GB"/>
        </w:rPr>
        <w:t xml:space="preserve"> in the same way as </w:t>
      </w:r>
      <w:r w:rsidR="008C2447" w:rsidRPr="00100028">
        <w:rPr>
          <w:rFonts w:asciiTheme="majorBidi" w:hAnsiTheme="majorBidi" w:cstheme="majorBidi"/>
          <w:sz w:val="24"/>
          <w:szCs w:val="24"/>
          <w:lang w:val="en-GB"/>
        </w:rPr>
        <w:t>Israeli citizens. But they are not allowed to</w:t>
      </w:r>
      <w:r w:rsidRPr="00100028">
        <w:rPr>
          <w:rFonts w:asciiTheme="majorBidi" w:hAnsiTheme="majorBidi" w:cstheme="majorBidi"/>
          <w:sz w:val="24"/>
          <w:szCs w:val="24"/>
          <w:lang w:val="en-GB"/>
        </w:rPr>
        <w:t xml:space="preserve"> participate in the Israeli legislative electio</w:t>
      </w:r>
      <w:r w:rsidR="00FB0BFF" w:rsidRPr="00100028">
        <w:rPr>
          <w:rFonts w:asciiTheme="majorBidi" w:hAnsiTheme="majorBidi" w:cstheme="majorBidi"/>
          <w:sz w:val="24"/>
          <w:szCs w:val="24"/>
          <w:lang w:val="en-GB"/>
        </w:rPr>
        <w:t>ns or perform national service.</w:t>
      </w:r>
      <w:r w:rsidR="00620A1D" w:rsidRPr="00100028">
        <w:rPr>
          <w:rFonts w:asciiTheme="majorBidi" w:hAnsiTheme="majorBidi" w:cstheme="majorBidi"/>
          <w:sz w:val="24"/>
          <w:szCs w:val="24"/>
          <w:lang w:val="en-GB"/>
        </w:rPr>
        <w:t xml:space="preserve"> </w:t>
      </w:r>
      <w:r w:rsidRPr="00100028">
        <w:rPr>
          <w:rFonts w:asciiTheme="majorBidi" w:hAnsiTheme="majorBidi" w:cstheme="majorBidi"/>
          <w:sz w:val="24"/>
          <w:szCs w:val="24"/>
          <w:lang w:val="en-GB"/>
        </w:rPr>
        <w:t xml:space="preserve">If East Jerusalemites move outside Jerusalem </w:t>
      </w:r>
      <w:r w:rsidR="00620A1D" w:rsidRPr="00100028">
        <w:rPr>
          <w:rFonts w:asciiTheme="majorBidi" w:hAnsiTheme="majorBidi" w:cstheme="majorBidi"/>
          <w:sz w:val="24"/>
          <w:szCs w:val="24"/>
          <w:lang w:val="en-GB"/>
        </w:rPr>
        <w:t xml:space="preserve">or </w:t>
      </w:r>
      <w:r w:rsidR="00B26676" w:rsidRPr="00100028">
        <w:rPr>
          <w:rFonts w:asciiTheme="majorBidi" w:hAnsiTheme="majorBidi" w:cstheme="majorBidi"/>
          <w:sz w:val="24"/>
          <w:szCs w:val="24"/>
          <w:lang w:val="en-GB"/>
        </w:rPr>
        <w:t xml:space="preserve">exit </w:t>
      </w:r>
      <w:r w:rsidR="00620A1D" w:rsidRPr="00100028">
        <w:rPr>
          <w:rFonts w:asciiTheme="majorBidi" w:hAnsiTheme="majorBidi" w:cstheme="majorBidi"/>
          <w:sz w:val="24"/>
          <w:szCs w:val="24"/>
          <w:lang w:val="en-GB"/>
        </w:rPr>
        <w:t>Israel for seven</w:t>
      </w:r>
      <w:r w:rsidRPr="00100028">
        <w:rPr>
          <w:rFonts w:asciiTheme="majorBidi" w:hAnsiTheme="majorBidi" w:cstheme="majorBidi"/>
          <w:sz w:val="24"/>
          <w:szCs w:val="24"/>
          <w:lang w:val="en-GB"/>
        </w:rPr>
        <w:t xml:space="preserve"> years or more,</w:t>
      </w:r>
      <w:r w:rsidR="00FB0BFF" w:rsidRPr="00100028">
        <w:rPr>
          <w:rFonts w:asciiTheme="majorBidi" w:hAnsiTheme="majorBidi" w:cstheme="majorBidi"/>
          <w:sz w:val="24"/>
          <w:szCs w:val="24"/>
          <w:lang w:val="en-GB"/>
        </w:rPr>
        <w:t xml:space="preserve"> their residency in Jerusalem would be</w:t>
      </w:r>
      <w:r w:rsidRPr="00100028">
        <w:rPr>
          <w:rFonts w:asciiTheme="majorBidi" w:hAnsiTheme="majorBidi" w:cstheme="majorBidi"/>
          <w:sz w:val="24"/>
          <w:szCs w:val="24"/>
          <w:lang w:val="en-GB"/>
        </w:rPr>
        <w:t xml:space="preserve"> revoked. Thereafter, </w:t>
      </w:r>
      <w:r w:rsidR="00620A1D" w:rsidRPr="00100028">
        <w:rPr>
          <w:rFonts w:asciiTheme="majorBidi" w:hAnsiTheme="majorBidi" w:cstheme="majorBidi"/>
          <w:sz w:val="24"/>
          <w:szCs w:val="24"/>
          <w:lang w:val="en-GB"/>
        </w:rPr>
        <w:t>Israel would</w:t>
      </w:r>
      <w:r w:rsidR="008C2447" w:rsidRPr="00100028">
        <w:rPr>
          <w:rFonts w:asciiTheme="majorBidi" w:hAnsiTheme="majorBidi" w:cstheme="majorBidi"/>
          <w:sz w:val="24"/>
          <w:szCs w:val="24"/>
          <w:lang w:val="en-GB"/>
        </w:rPr>
        <w:t xml:space="preserve"> not allow them</w:t>
      </w:r>
      <w:r w:rsidRPr="00100028">
        <w:rPr>
          <w:rFonts w:asciiTheme="majorBidi" w:hAnsiTheme="majorBidi" w:cstheme="majorBidi"/>
          <w:sz w:val="24"/>
          <w:szCs w:val="24"/>
          <w:lang w:val="en-GB"/>
        </w:rPr>
        <w:t xml:space="preserve"> </w:t>
      </w:r>
      <w:r w:rsidR="008C2447" w:rsidRPr="00100028">
        <w:rPr>
          <w:rFonts w:asciiTheme="majorBidi" w:hAnsiTheme="majorBidi" w:cstheme="majorBidi"/>
          <w:sz w:val="24"/>
          <w:szCs w:val="24"/>
          <w:lang w:val="en-GB"/>
        </w:rPr>
        <w:t xml:space="preserve">to </w:t>
      </w:r>
      <w:r w:rsidRPr="00100028">
        <w:rPr>
          <w:rFonts w:asciiTheme="majorBidi" w:hAnsiTheme="majorBidi" w:cstheme="majorBidi"/>
          <w:sz w:val="24"/>
          <w:szCs w:val="24"/>
          <w:lang w:val="en-GB"/>
        </w:rPr>
        <w:t xml:space="preserve">return to the city. Such persons may then become </w:t>
      </w:r>
      <w:r w:rsidR="008C2447" w:rsidRPr="00100028">
        <w:rPr>
          <w:rFonts w:asciiTheme="majorBidi" w:hAnsiTheme="majorBidi" w:cstheme="majorBidi"/>
          <w:sz w:val="24"/>
          <w:szCs w:val="24"/>
          <w:lang w:val="en-GB"/>
        </w:rPr>
        <w:t>s</w:t>
      </w:r>
      <w:r w:rsidR="00FE2B16" w:rsidRPr="00100028">
        <w:rPr>
          <w:rFonts w:asciiTheme="majorBidi" w:hAnsiTheme="majorBidi" w:cstheme="majorBidi"/>
          <w:sz w:val="24"/>
          <w:szCs w:val="24"/>
          <w:lang w:val="en-GB"/>
        </w:rPr>
        <w:t>tate</w:t>
      </w:r>
      <w:r w:rsidR="008C2447" w:rsidRPr="00100028">
        <w:rPr>
          <w:rFonts w:asciiTheme="majorBidi" w:hAnsiTheme="majorBidi" w:cstheme="majorBidi"/>
          <w:sz w:val="24"/>
          <w:szCs w:val="24"/>
          <w:lang w:val="en-GB"/>
        </w:rPr>
        <w:t>less.</w:t>
      </w:r>
      <w:r w:rsidR="00620A1D" w:rsidRPr="00100028">
        <w:rPr>
          <w:rStyle w:val="FootnoteReference"/>
          <w:rFonts w:asciiTheme="majorBidi" w:hAnsiTheme="majorBidi" w:cstheme="majorBidi"/>
          <w:sz w:val="24"/>
          <w:szCs w:val="24"/>
          <w:lang w:val="en-GB"/>
        </w:rPr>
        <w:footnoteReference w:id="160"/>
      </w:r>
    </w:p>
    <w:p w:rsidR="00A52788" w:rsidRPr="00100028" w:rsidRDefault="00A52788" w:rsidP="00100028">
      <w:pPr>
        <w:bidi w:val="0"/>
        <w:jc w:val="both"/>
        <w:rPr>
          <w:rFonts w:asciiTheme="majorBidi" w:hAnsiTheme="majorBidi" w:cstheme="majorBidi"/>
          <w:sz w:val="24"/>
          <w:szCs w:val="24"/>
          <w:lang w:val="en-GB"/>
        </w:rPr>
      </w:pPr>
    </w:p>
    <w:p w:rsidR="00D95685"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If East Jerusalemites move to the West Bank, irrespective of the length of their stay, thei</w:t>
      </w:r>
      <w:r w:rsidR="00561EC0" w:rsidRPr="00100028">
        <w:rPr>
          <w:rFonts w:asciiTheme="majorBidi" w:hAnsiTheme="majorBidi" w:cstheme="majorBidi"/>
          <w:sz w:val="24"/>
          <w:szCs w:val="24"/>
          <w:lang w:val="en-GB"/>
        </w:rPr>
        <w:t>r residency in the city</w:t>
      </w:r>
      <w:r w:rsidR="00B24932" w:rsidRPr="00100028">
        <w:rPr>
          <w:rFonts w:asciiTheme="majorBidi" w:hAnsiTheme="majorBidi" w:cstheme="majorBidi"/>
          <w:sz w:val="24"/>
          <w:szCs w:val="24"/>
          <w:lang w:val="en-GB"/>
        </w:rPr>
        <w:t xml:space="preserve"> would be revoked</w:t>
      </w:r>
      <w:r w:rsidR="00561EC0" w:rsidRPr="00100028">
        <w:rPr>
          <w:rFonts w:asciiTheme="majorBidi" w:hAnsiTheme="majorBidi" w:cstheme="majorBidi"/>
          <w:sz w:val="24"/>
          <w:szCs w:val="24"/>
          <w:lang w:val="en-GB"/>
        </w:rPr>
        <w:t xml:space="preserve"> by Israel</w:t>
      </w:r>
      <w:r w:rsidRPr="00100028">
        <w:rPr>
          <w:rFonts w:asciiTheme="majorBidi" w:hAnsiTheme="majorBidi" w:cstheme="majorBidi"/>
          <w:sz w:val="24"/>
          <w:szCs w:val="24"/>
          <w:lang w:val="en-GB"/>
        </w:rPr>
        <w:t xml:space="preserve">. Residency and housing in the West </w:t>
      </w:r>
      <w:r w:rsidR="00561EC0" w:rsidRPr="00100028">
        <w:rPr>
          <w:rFonts w:asciiTheme="majorBidi" w:hAnsiTheme="majorBidi" w:cstheme="majorBidi"/>
          <w:sz w:val="24"/>
          <w:szCs w:val="24"/>
          <w:lang w:val="en-GB"/>
        </w:rPr>
        <w:t>Bank is effectively open to</w:t>
      </w:r>
      <w:r w:rsidRPr="00100028">
        <w:rPr>
          <w:rFonts w:asciiTheme="majorBidi" w:hAnsiTheme="majorBidi" w:cstheme="majorBidi"/>
          <w:sz w:val="24"/>
          <w:szCs w:val="24"/>
          <w:lang w:val="en-GB"/>
        </w:rPr>
        <w:t xml:space="preserve"> Jerusalemites</w:t>
      </w:r>
      <w:r w:rsidR="00620A1D" w:rsidRPr="00100028">
        <w:rPr>
          <w:rFonts w:asciiTheme="majorBidi" w:hAnsiTheme="majorBidi" w:cstheme="majorBidi"/>
          <w:sz w:val="24"/>
          <w:szCs w:val="24"/>
          <w:lang w:val="en-GB"/>
        </w:rPr>
        <w:t xml:space="preserve">, as many of them hold family connections </w:t>
      </w:r>
      <w:r w:rsidR="00394E26" w:rsidRPr="00100028">
        <w:rPr>
          <w:rFonts w:asciiTheme="majorBidi" w:hAnsiTheme="majorBidi" w:cstheme="majorBidi"/>
          <w:sz w:val="24"/>
          <w:szCs w:val="24"/>
          <w:lang w:val="en-GB"/>
        </w:rPr>
        <w:t xml:space="preserve">with the </w:t>
      </w:r>
      <w:r w:rsidR="00B26676" w:rsidRPr="00100028">
        <w:rPr>
          <w:rFonts w:asciiTheme="majorBidi" w:hAnsiTheme="majorBidi" w:cstheme="majorBidi"/>
          <w:sz w:val="24"/>
          <w:szCs w:val="24"/>
          <w:lang w:val="en-GB"/>
        </w:rPr>
        <w:t xml:space="preserve">neighbouring Palestinian </w:t>
      </w:r>
      <w:r w:rsidR="00F357B3" w:rsidRPr="00100028">
        <w:rPr>
          <w:rFonts w:asciiTheme="majorBidi" w:hAnsiTheme="majorBidi" w:cstheme="majorBidi"/>
          <w:sz w:val="24"/>
          <w:szCs w:val="24"/>
          <w:lang w:val="en-GB"/>
        </w:rPr>
        <w:t>cities; in fact thousands of East Jerusalemites live and work in the West Bank</w:t>
      </w:r>
      <w:r w:rsidRPr="00100028">
        <w:rPr>
          <w:rFonts w:asciiTheme="majorBidi" w:hAnsiTheme="majorBidi" w:cstheme="majorBidi"/>
          <w:sz w:val="24"/>
          <w:szCs w:val="24"/>
          <w:lang w:val="en-GB"/>
        </w:rPr>
        <w:t xml:space="preserve"> without informi</w:t>
      </w:r>
      <w:r w:rsidR="003D0975" w:rsidRPr="00100028">
        <w:rPr>
          <w:rFonts w:asciiTheme="majorBidi" w:hAnsiTheme="majorBidi" w:cstheme="majorBidi"/>
          <w:sz w:val="24"/>
          <w:szCs w:val="24"/>
          <w:lang w:val="en-GB"/>
        </w:rPr>
        <w:t xml:space="preserve">ng the </w:t>
      </w:r>
      <w:r w:rsidR="00F357B3" w:rsidRPr="00100028">
        <w:rPr>
          <w:rFonts w:asciiTheme="majorBidi" w:hAnsiTheme="majorBidi" w:cstheme="majorBidi"/>
          <w:sz w:val="24"/>
          <w:szCs w:val="24"/>
          <w:lang w:val="en-GB"/>
        </w:rPr>
        <w:t xml:space="preserve">Israeli </w:t>
      </w:r>
      <w:r w:rsidR="003D0975" w:rsidRPr="00100028">
        <w:rPr>
          <w:rFonts w:asciiTheme="majorBidi" w:hAnsiTheme="majorBidi" w:cstheme="majorBidi"/>
          <w:sz w:val="24"/>
          <w:szCs w:val="24"/>
          <w:lang w:val="en-GB"/>
        </w:rPr>
        <w:t>authorities</w:t>
      </w:r>
      <w:r w:rsidRPr="00100028">
        <w:rPr>
          <w:rFonts w:asciiTheme="majorBidi" w:hAnsiTheme="majorBidi" w:cstheme="majorBidi"/>
          <w:sz w:val="24"/>
          <w:szCs w:val="24"/>
          <w:lang w:val="en-GB"/>
        </w:rPr>
        <w:t>.</w:t>
      </w:r>
      <w:r w:rsidR="00E148C0" w:rsidRPr="00100028">
        <w:rPr>
          <w:rStyle w:val="FootnoteReference"/>
          <w:rFonts w:asciiTheme="majorBidi" w:hAnsiTheme="majorBidi" w:cstheme="majorBidi"/>
          <w:sz w:val="24"/>
          <w:szCs w:val="24"/>
          <w:lang w:val="en-GB"/>
        </w:rPr>
        <w:footnoteReference w:id="161"/>
      </w:r>
      <w:r w:rsidRPr="00100028">
        <w:rPr>
          <w:rFonts w:asciiTheme="majorBidi" w:hAnsiTheme="majorBidi" w:cstheme="majorBidi"/>
          <w:sz w:val="24"/>
          <w:szCs w:val="24"/>
          <w:lang w:val="en-GB"/>
        </w:rPr>
        <w:t xml:space="preserve"> East Jerusal</w:t>
      </w:r>
      <w:r w:rsidR="00561EC0" w:rsidRPr="00100028">
        <w:rPr>
          <w:rFonts w:asciiTheme="majorBidi" w:hAnsiTheme="majorBidi" w:cstheme="majorBidi"/>
          <w:sz w:val="24"/>
          <w:szCs w:val="24"/>
          <w:lang w:val="en-GB"/>
        </w:rPr>
        <w:t>em women who marry West Bankers</w:t>
      </w:r>
      <w:r w:rsidRPr="00100028">
        <w:rPr>
          <w:rFonts w:asciiTheme="majorBidi" w:hAnsiTheme="majorBidi" w:cstheme="majorBidi"/>
          <w:sz w:val="24"/>
          <w:szCs w:val="24"/>
          <w:lang w:val="en-GB"/>
        </w:rPr>
        <w:t xml:space="preserve"> face the threat of withdrawal of their </w:t>
      </w:r>
      <w:r w:rsidR="008C2447" w:rsidRPr="00100028">
        <w:rPr>
          <w:rFonts w:asciiTheme="majorBidi" w:hAnsiTheme="majorBidi" w:cstheme="majorBidi"/>
          <w:sz w:val="24"/>
          <w:szCs w:val="24"/>
          <w:lang w:val="en-GB"/>
        </w:rPr>
        <w:t xml:space="preserve">Jerusalem </w:t>
      </w:r>
      <w:r w:rsidRPr="00100028">
        <w:rPr>
          <w:rFonts w:asciiTheme="majorBidi" w:hAnsiTheme="majorBidi" w:cstheme="majorBidi"/>
          <w:sz w:val="24"/>
          <w:szCs w:val="24"/>
          <w:lang w:val="en-GB"/>
        </w:rPr>
        <w:t>identity cards. If Jerusalemites</w:t>
      </w:r>
      <w:r w:rsidR="00F130C3"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 xml:space="preserve"> residence in the West Bank is discovered by Israel, their residency in Jerusalem may be revoked. Israel </w:t>
      </w:r>
      <w:r w:rsidR="003D0975" w:rsidRPr="00100028">
        <w:rPr>
          <w:rFonts w:asciiTheme="majorBidi" w:hAnsiTheme="majorBidi" w:cstheme="majorBidi"/>
          <w:sz w:val="24"/>
          <w:szCs w:val="24"/>
          <w:lang w:val="en-GB"/>
        </w:rPr>
        <w:t xml:space="preserve">sometimes </w:t>
      </w:r>
      <w:r w:rsidRPr="00100028">
        <w:rPr>
          <w:rFonts w:asciiTheme="majorBidi" w:hAnsiTheme="majorBidi" w:cstheme="majorBidi"/>
          <w:sz w:val="24"/>
          <w:szCs w:val="24"/>
          <w:lang w:val="en-GB"/>
        </w:rPr>
        <w:t>ex</w:t>
      </w:r>
      <w:r w:rsidR="003D0975" w:rsidRPr="00100028">
        <w:rPr>
          <w:rFonts w:asciiTheme="majorBidi" w:hAnsiTheme="majorBidi" w:cstheme="majorBidi"/>
          <w:sz w:val="24"/>
          <w:szCs w:val="24"/>
          <w:lang w:val="en-GB"/>
        </w:rPr>
        <w:t>pels</w:t>
      </w:r>
      <w:r w:rsidRPr="00100028">
        <w:rPr>
          <w:rFonts w:asciiTheme="majorBidi" w:hAnsiTheme="majorBidi" w:cstheme="majorBidi"/>
          <w:sz w:val="24"/>
          <w:szCs w:val="24"/>
          <w:lang w:val="en-GB"/>
        </w:rPr>
        <w:t xml:space="preserve"> people to the West Bank and revokes their residency in East </w:t>
      </w:r>
      <w:r w:rsidRPr="00100028">
        <w:rPr>
          <w:rFonts w:asciiTheme="majorBidi" w:hAnsiTheme="majorBidi" w:cstheme="majorBidi"/>
          <w:sz w:val="24"/>
          <w:szCs w:val="24"/>
          <w:lang w:val="en-GB"/>
        </w:rPr>
        <w:lastRenderedPageBreak/>
        <w:t xml:space="preserve">Jerusalem for political reasons, as it did in the case of four Palestinian parliamentarians who were removed </w:t>
      </w:r>
      <w:r w:rsidR="003D0975" w:rsidRPr="00100028">
        <w:rPr>
          <w:rFonts w:asciiTheme="majorBidi" w:hAnsiTheme="majorBidi" w:cstheme="majorBidi"/>
          <w:sz w:val="24"/>
          <w:szCs w:val="24"/>
          <w:lang w:val="en-GB"/>
        </w:rPr>
        <w:t>to Ramallah in 2011.</w:t>
      </w:r>
      <w:r w:rsidR="008C2447" w:rsidRPr="00100028">
        <w:rPr>
          <w:rStyle w:val="FootnoteReference"/>
          <w:rFonts w:asciiTheme="majorBidi" w:hAnsiTheme="majorBidi" w:cstheme="majorBidi"/>
          <w:sz w:val="24"/>
          <w:szCs w:val="24"/>
          <w:lang w:val="en-GB"/>
        </w:rPr>
        <w:footnoteReference w:id="162"/>
      </w:r>
      <w:r w:rsidR="003D0975" w:rsidRPr="00100028">
        <w:rPr>
          <w:rFonts w:asciiTheme="majorBidi" w:hAnsiTheme="majorBidi" w:cstheme="majorBidi"/>
          <w:sz w:val="24"/>
          <w:szCs w:val="24"/>
          <w:lang w:val="en-GB"/>
        </w:rPr>
        <w:t xml:space="preserve"> A</w:t>
      </w:r>
      <w:r w:rsidRPr="00100028">
        <w:rPr>
          <w:rFonts w:asciiTheme="majorBidi" w:hAnsiTheme="majorBidi" w:cstheme="majorBidi"/>
          <w:sz w:val="24"/>
          <w:szCs w:val="24"/>
          <w:lang w:val="en-GB"/>
        </w:rPr>
        <w:t xml:space="preserve"> large number of East Jerusalemites have found themselves physically </w:t>
      </w:r>
      <w:r w:rsidR="00943740" w:rsidRPr="00100028">
        <w:rPr>
          <w:rFonts w:asciiTheme="majorBidi" w:hAnsiTheme="majorBidi" w:cstheme="majorBidi"/>
          <w:sz w:val="24"/>
          <w:szCs w:val="24"/>
          <w:lang w:val="en-GB"/>
        </w:rPr>
        <w:t>outside the city</w:t>
      </w:r>
      <w:r w:rsidRPr="00100028">
        <w:rPr>
          <w:rFonts w:asciiTheme="majorBidi" w:hAnsiTheme="majorBidi" w:cstheme="majorBidi"/>
          <w:sz w:val="24"/>
          <w:szCs w:val="24"/>
          <w:lang w:val="en-GB"/>
        </w:rPr>
        <w:t xml:space="preserve"> after the completion of the separation wal</w:t>
      </w:r>
      <w:r w:rsidR="00943740" w:rsidRPr="00100028">
        <w:rPr>
          <w:rFonts w:asciiTheme="majorBidi" w:hAnsiTheme="majorBidi" w:cstheme="majorBidi"/>
          <w:sz w:val="24"/>
          <w:szCs w:val="24"/>
          <w:lang w:val="en-GB"/>
        </w:rPr>
        <w:t>l with the</w:t>
      </w:r>
      <w:r w:rsidRPr="00100028">
        <w:rPr>
          <w:rFonts w:asciiTheme="majorBidi" w:hAnsiTheme="majorBidi" w:cstheme="majorBidi"/>
          <w:sz w:val="24"/>
          <w:szCs w:val="24"/>
          <w:lang w:val="en-GB"/>
        </w:rPr>
        <w:t xml:space="preserve"> West Bank.</w:t>
      </w:r>
      <w:r w:rsidR="008C2447" w:rsidRPr="00100028">
        <w:rPr>
          <w:rStyle w:val="FootnoteReference"/>
          <w:rFonts w:asciiTheme="majorBidi" w:hAnsiTheme="majorBidi" w:cstheme="majorBidi"/>
          <w:sz w:val="24"/>
          <w:szCs w:val="24"/>
          <w:lang w:val="en-GB"/>
        </w:rPr>
        <w:footnoteReference w:id="163"/>
      </w:r>
      <w:r w:rsidRPr="00100028">
        <w:rPr>
          <w:rFonts w:asciiTheme="majorBidi" w:hAnsiTheme="majorBidi" w:cstheme="majorBidi"/>
          <w:sz w:val="24"/>
          <w:szCs w:val="24"/>
          <w:lang w:val="en-GB"/>
        </w:rPr>
        <w:t xml:space="preserve"> These residents are threatened wi</w:t>
      </w:r>
      <w:r w:rsidR="00943740" w:rsidRPr="00100028">
        <w:rPr>
          <w:rFonts w:asciiTheme="majorBidi" w:hAnsiTheme="majorBidi" w:cstheme="majorBidi"/>
          <w:sz w:val="24"/>
          <w:szCs w:val="24"/>
          <w:lang w:val="en-GB"/>
        </w:rPr>
        <w:t>th withdrawal of their</w:t>
      </w:r>
      <w:r w:rsidRPr="00100028">
        <w:rPr>
          <w:rFonts w:asciiTheme="majorBidi" w:hAnsiTheme="majorBidi" w:cstheme="majorBidi"/>
          <w:sz w:val="24"/>
          <w:szCs w:val="24"/>
          <w:lang w:val="en-GB"/>
        </w:rPr>
        <w:t xml:space="preserve"> identity cards and many cards have indeed been withdrawn.</w:t>
      </w:r>
      <w:r w:rsidR="008C2447" w:rsidRPr="00100028">
        <w:rPr>
          <w:rStyle w:val="FootnoteReference"/>
          <w:rFonts w:asciiTheme="majorBidi" w:hAnsiTheme="majorBidi" w:cstheme="majorBidi"/>
          <w:sz w:val="24"/>
          <w:szCs w:val="24"/>
          <w:lang w:val="en-GB"/>
        </w:rPr>
        <w:footnoteReference w:id="164"/>
      </w:r>
      <w:r w:rsidRPr="00100028">
        <w:rPr>
          <w:rFonts w:asciiTheme="majorBidi" w:hAnsiTheme="majorBidi" w:cstheme="majorBidi"/>
          <w:sz w:val="24"/>
          <w:szCs w:val="24"/>
          <w:lang w:val="en-GB"/>
        </w:rPr>
        <w:t xml:space="preserve"> In all these cases, the persons concerned become </w:t>
      </w:r>
      <w:r w:rsidR="008C2447" w:rsidRPr="00100028">
        <w:rPr>
          <w:rFonts w:asciiTheme="majorBidi" w:hAnsiTheme="majorBidi" w:cstheme="majorBidi"/>
          <w:sz w:val="24"/>
          <w:szCs w:val="24"/>
          <w:lang w:val="en-GB"/>
        </w:rPr>
        <w:t>s</w:t>
      </w:r>
      <w:r w:rsidR="00FE2B16" w:rsidRPr="00100028">
        <w:rPr>
          <w:rFonts w:asciiTheme="majorBidi" w:hAnsiTheme="majorBidi" w:cstheme="majorBidi"/>
          <w:sz w:val="24"/>
          <w:szCs w:val="24"/>
          <w:lang w:val="en-GB"/>
        </w:rPr>
        <w:t>tate</w:t>
      </w:r>
      <w:r w:rsidRPr="00100028">
        <w:rPr>
          <w:rFonts w:asciiTheme="majorBidi" w:hAnsiTheme="majorBidi" w:cstheme="majorBidi"/>
          <w:sz w:val="24"/>
          <w:szCs w:val="24"/>
          <w:lang w:val="en-GB"/>
        </w:rPr>
        <w:t>less, having on the one hand lost their Jerusalem status and, on t</w:t>
      </w:r>
      <w:r w:rsidR="00E148C0" w:rsidRPr="00100028">
        <w:rPr>
          <w:rFonts w:asciiTheme="majorBidi" w:hAnsiTheme="majorBidi" w:cstheme="majorBidi"/>
          <w:sz w:val="24"/>
          <w:szCs w:val="24"/>
          <w:lang w:val="en-GB"/>
        </w:rPr>
        <w:t>he other, failed</w:t>
      </w:r>
      <w:r w:rsidRPr="00100028">
        <w:rPr>
          <w:rFonts w:asciiTheme="majorBidi" w:hAnsiTheme="majorBidi" w:cstheme="majorBidi"/>
          <w:sz w:val="24"/>
          <w:szCs w:val="24"/>
          <w:lang w:val="en-GB"/>
        </w:rPr>
        <w:t xml:space="preserve"> to </w:t>
      </w:r>
      <w:r w:rsidR="003D0975" w:rsidRPr="00100028">
        <w:rPr>
          <w:rFonts w:asciiTheme="majorBidi" w:hAnsiTheme="majorBidi" w:cstheme="majorBidi"/>
          <w:sz w:val="24"/>
          <w:szCs w:val="24"/>
          <w:lang w:val="en-GB"/>
        </w:rPr>
        <w:t>acquire West Bank residency</w:t>
      </w:r>
      <w:r w:rsidR="00943740" w:rsidRPr="00100028">
        <w:rPr>
          <w:rFonts w:asciiTheme="majorBidi" w:hAnsiTheme="majorBidi" w:cstheme="majorBidi"/>
          <w:sz w:val="24"/>
          <w:szCs w:val="24"/>
          <w:lang w:val="en-GB"/>
        </w:rPr>
        <w:t>.</w:t>
      </w:r>
      <w:r w:rsidR="00943740" w:rsidRPr="00100028">
        <w:rPr>
          <w:rStyle w:val="FootnoteReference"/>
          <w:rFonts w:asciiTheme="majorBidi" w:hAnsiTheme="majorBidi" w:cstheme="majorBidi"/>
          <w:sz w:val="24"/>
          <w:szCs w:val="24"/>
          <w:lang w:val="en-GB"/>
        </w:rPr>
        <w:footnoteReference w:id="165"/>
      </w:r>
    </w:p>
    <w:p w:rsidR="00D95685" w:rsidRPr="00100028" w:rsidRDefault="00D95685" w:rsidP="00100028">
      <w:pPr>
        <w:bidi w:val="0"/>
        <w:jc w:val="both"/>
        <w:rPr>
          <w:rFonts w:asciiTheme="majorBidi" w:hAnsiTheme="majorBidi" w:cstheme="majorBidi"/>
          <w:sz w:val="24"/>
          <w:szCs w:val="24"/>
          <w:lang w:val="en-GB"/>
        </w:rPr>
      </w:pPr>
    </w:p>
    <w:p w:rsidR="00D95685" w:rsidRPr="00100028" w:rsidRDefault="003D0975"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The PA</w:t>
      </w:r>
      <w:r w:rsidR="00A52788" w:rsidRPr="00100028">
        <w:rPr>
          <w:rFonts w:asciiTheme="majorBidi" w:hAnsiTheme="majorBidi" w:cstheme="majorBidi"/>
          <w:sz w:val="24"/>
          <w:szCs w:val="24"/>
          <w:lang w:val="en-GB"/>
        </w:rPr>
        <w:t xml:space="preserve"> is not in favour of granting Palestinian identity cards to </w:t>
      </w:r>
      <w:r w:rsidR="00E148C0" w:rsidRPr="00100028">
        <w:rPr>
          <w:rFonts w:asciiTheme="majorBidi" w:hAnsiTheme="majorBidi" w:cstheme="majorBidi"/>
          <w:sz w:val="24"/>
          <w:szCs w:val="24"/>
          <w:lang w:val="en-GB"/>
        </w:rPr>
        <w:t>East Jerusalemites whose residency is revoked</w:t>
      </w:r>
      <w:r w:rsidR="00A52788" w:rsidRPr="00100028">
        <w:rPr>
          <w:rFonts w:asciiTheme="majorBidi" w:hAnsiTheme="majorBidi" w:cstheme="majorBidi"/>
          <w:sz w:val="24"/>
          <w:szCs w:val="24"/>
          <w:lang w:val="en-GB"/>
        </w:rPr>
        <w:t xml:space="preserve"> in order to discourage Israel from undertaking further expulsions.</w:t>
      </w:r>
      <w:r w:rsidR="008C2447" w:rsidRPr="00100028">
        <w:rPr>
          <w:rStyle w:val="FootnoteReference"/>
          <w:rFonts w:asciiTheme="majorBidi" w:hAnsiTheme="majorBidi" w:cstheme="majorBidi"/>
          <w:sz w:val="24"/>
          <w:szCs w:val="24"/>
          <w:lang w:val="en-GB"/>
        </w:rPr>
        <w:footnoteReference w:id="166"/>
      </w:r>
      <w:r w:rsidR="00D95685" w:rsidRPr="00100028">
        <w:rPr>
          <w:rFonts w:asciiTheme="majorBidi" w:hAnsiTheme="majorBidi" w:cstheme="majorBidi"/>
          <w:sz w:val="24"/>
          <w:szCs w:val="24"/>
          <w:lang w:val="en-GB"/>
        </w:rPr>
        <w:t xml:space="preserve"> For the PA, the treatment of these persons may sometimes differ from that of West Bank identity card holders in terms of court and police jurisdiction—Palestinian police cannot issue traffic fines against East Jerusalemites who drive in the West Bank, for example. </w:t>
      </w:r>
      <w:r w:rsidR="00A52788" w:rsidRPr="00100028">
        <w:rPr>
          <w:rFonts w:asciiTheme="majorBidi" w:hAnsiTheme="majorBidi" w:cstheme="majorBidi"/>
          <w:sz w:val="24"/>
          <w:szCs w:val="24"/>
          <w:lang w:val="en-GB"/>
        </w:rPr>
        <w:t xml:space="preserve">As </w:t>
      </w:r>
      <w:r w:rsidR="008C2447" w:rsidRPr="00100028">
        <w:rPr>
          <w:rFonts w:asciiTheme="majorBidi" w:hAnsiTheme="majorBidi" w:cstheme="majorBidi"/>
          <w:sz w:val="24"/>
          <w:szCs w:val="24"/>
          <w:lang w:val="en-GB"/>
        </w:rPr>
        <w:t>s</w:t>
      </w:r>
      <w:r w:rsidR="00FE2B16" w:rsidRPr="00100028">
        <w:rPr>
          <w:rFonts w:asciiTheme="majorBidi" w:hAnsiTheme="majorBidi" w:cstheme="majorBidi"/>
          <w:sz w:val="24"/>
          <w:szCs w:val="24"/>
          <w:lang w:val="en-GB"/>
        </w:rPr>
        <w:t>tate</w:t>
      </w:r>
      <w:r w:rsidR="00A52788" w:rsidRPr="00100028">
        <w:rPr>
          <w:rFonts w:asciiTheme="majorBidi" w:hAnsiTheme="majorBidi" w:cstheme="majorBidi"/>
          <w:sz w:val="24"/>
          <w:szCs w:val="24"/>
          <w:lang w:val="en-GB"/>
        </w:rPr>
        <w:t xml:space="preserve">less persons, they are unable to travel abroad or to acquire identity papers, a </w:t>
      </w:r>
      <w:r w:rsidR="008C2447" w:rsidRPr="00100028">
        <w:rPr>
          <w:rFonts w:asciiTheme="majorBidi" w:hAnsiTheme="majorBidi" w:cstheme="majorBidi"/>
          <w:sz w:val="24"/>
          <w:szCs w:val="24"/>
          <w:lang w:val="en-GB"/>
        </w:rPr>
        <w:t>s</w:t>
      </w:r>
      <w:r w:rsidR="00FE2B16" w:rsidRPr="00100028">
        <w:rPr>
          <w:rFonts w:asciiTheme="majorBidi" w:hAnsiTheme="majorBidi" w:cstheme="majorBidi"/>
          <w:sz w:val="24"/>
          <w:szCs w:val="24"/>
          <w:lang w:val="en-GB"/>
        </w:rPr>
        <w:t>tate</w:t>
      </w:r>
      <w:r w:rsidR="00E148C0" w:rsidRPr="00100028">
        <w:rPr>
          <w:rFonts w:asciiTheme="majorBidi" w:hAnsiTheme="majorBidi" w:cstheme="majorBidi"/>
          <w:sz w:val="24"/>
          <w:szCs w:val="24"/>
          <w:lang w:val="en-GB"/>
        </w:rPr>
        <w:t xml:space="preserve"> of affairs that</w:t>
      </w:r>
      <w:r w:rsidR="00A52788" w:rsidRPr="00100028">
        <w:rPr>
          <w:rFonts w:asciiTheme="majorBidi" w:hAnsiTheme="majorBidi" w:cstheme="majorBidi"/>
          <w:sz w:val="24"/>
          <w:szCs w:val="24"/>
          <w:lang w:val="en-GB"/>
        </w:rPr>
        <w:t xml:space="preserve"> h</w:t>
      </w:r>
      <w:r w:rsidR="00E148C0" w:rsidRPr="00100028">
        <w:rPr>
          <w:rFonts w:asciiTheme="majorBidi" w:hAnsiTheme="majorBidi" w:cstheme="majorBidi"/>
          <w:sz w:val="24"/>
          <w:szCs w:val="24"/>
          <w:lang w:val="en-GB"/>
        </w:rPr>
        <w:t>as adverse implications in matters</w:t>
      </w:r>
      <w:r w:rsidR="00A52788" w:rsidRPr="00100028">
        <w:rPr>
          <w:rFonts w:asciiTheme="majorBidi" w:hAnsiTheme="majorBidi" w:cstheme="majorBidi"/>
          <w:sz w:val="24"/>
          <w:szCs w:val="24"/>
          <w:lang w:val="en-GB"/>
        </w:rPr>
        <w:t xml:space="preserve"> such as marriage, </w:t>
      </w:r>
      <w:r w:rsidR="00E148C0" w:rsidRPr="00100028">
        <w:rPr>
          <w:rFonts w:asciiTheme="majorBidi" w:hAnsiTheme="majorBidi" w:cstheme="majorBidi"/>
          <w:sz w:val="24"/>
          <w:szCs w:val="24"/>
          <w:lang w:val="en-GB"/>
        </w:rPr>
        <w:t xml:space="preserve">immovable </w:t>
      </w:r>
      <w:r w:rsidR="00A52788" w:rsidRPr="00100028">
        <w:rPr>
          <w:rFonts w:asciiTheme="majorBidi" w:hAnsiTheme="majorBidi" w:cstheme="majorBidi"/>
          <w:sz w:val="24"/>
          <w:szCs w:val="24"/>
          <w:lang w:val="en-GB"/>
        </w:rPr>
        <w:t>property ownership, registration of c</w:t>
      </w:r>
      <w:r w:rsidR="00E148C0" w:rsidRPr="00100028">
        <w:rPr>
          <w:rFonts w:asciiTheme="majorBidi" w:hAnsiTheme="majorBidi" w:cstheme="majorBidi"/>
          <w:sz w:val="24"/>
          <w:szCs w:val="24"/>
          <w:lang w:val="en-GB"/>
        </w:rPr>
        <w:t>hildren</w:t>
      </w:r>
      <w:r w:rsidRPr="00100028">
        <w:rPr>
          <w:rFonts w:asciiTheme="majorBidi" w:hAnsiTheme="majorBidi" w:cstheme="majorBidi"/>
          <w:sz w:val="24"/>
          <w:szCs w:val="24"/>
          <w:lang w:val="en-GB"/>
        </w:rPr>
        <w:t>, or the conduct of business.</w:t>
      </w:r>
      <w:r w:rsidR="00D95685" w:rsidRPr="00100028">
        <w:rPr>
          <w:rFonts w:asciiTheme="majorBidi" w:hAnsiTheme="majorBidi" w:cstheme="majorBidi"/>
          <w:sz w:val="24"/>
          <w:szCs w:val="24"/>
          <w:lang w:val="en-GB"/>
        </w:rPr>
        <w:t xml:space="preserve"> Yet the PA treats such persons as ordinary Palestinian citizens in terms of, for instance, the practising of</w:t>
      </w:r>
      <w:r w:rsidR="00F61DDE" w:rsidRPr="00100028">
        <w:rPr>
          <w:rFonts w:asciiTheme="majorBidi" w:hAnsiTheme="majorBidi" w:cstheme="majorBidi"/>
          <w:sz w:val="24"/>
          <w:szCs w:val="24"/>
          <w:lang w:val="en-GB"/>
        </w:rPr>
        <w:t xml:space="preserve"> professions, right to work,</w:t>
      </w:r>
      <w:r w:rsidR="00D95685" w:rsidRPr="00100028">
        <w:rPr>
          <w:rFonts w:asciiTheme="majorBidi" w:hAnsiTheme="majorBidi" w:cstheme="majorBidi"/>
          <w:sz w:val="24"/>
          <w:szCs w:val="24"/>
          <w:lang w:val="en-GB"/>
        </w:rPr>
        <w:t xml:space="preserve"> public employment</w:t>
      </w:r>
      <w:r w:rsidR="00F61DDE" w:rsidRPr="00100028">
        <w:rPr>
          <w:rFonts w:asciiTheme="majorBidi" w:hAnsiTheme="majorBidi" w:cstheme="majorBidi"/>
          <w:sz w:val="24"/>
          <w:szCs w:val="24"/>
          <w:lang w:val="en-GB"/>
        </w:rPr>
        <w:t>, and elections</w:t>
      </w:r>
      <w:r w:rsidR="00D95685" w:rsidRPr="00100028">
        <w:rPr>
          <w:rFonts w:asciiTheme="majorBidi" w:hAnsiTheme="majorBidi" w:cstheme="majorBidi"/>
          <w:sz w:val="24"/>
          <w:szCs w:val="24"/>
          <w:lang w:val="en-GB"/>
        </w:rPr>
        <w:t>.</w:t>
      </w:r>
      <w:r w:rsidR="00D95685" w:rsidRPr="00100028">
        <w:rPr>
          <w:rStyle w:val="FootnoteReference"/>
          <w:rFonts w:asciiTheme="majorBidi" w:hAnsiTheme="majorBidi" w:cstheme="majorBidi"/>
          <w:sz w:val="24"/>
          <w:szCs w:val="24"/>
          <w:lang w:val="en-GB"/>
        </w:rPr>
        <w:footnoteReference w:id="167"/>
      </w:r>
    </w:p>
    <w:p w:rsidR="003D0975" w:rsidRPr="00100028" w:rsidRDefault="003D0975"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The Israeli government</w:t>
      </w:r>
      <w:r w:rsidR="00F130C3"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s p</w:t>
      </w:r>
      <w:r w:rsidR="003D0975" w:rsidRPr="00100028">
        <w:rPr>
          <w:rFonts w:asciiTheme="majorBidi" w:hAnsiTheme="majorBidi" w:cstheme="majorBidi"/>
          <w:sz w:val="24"/>
          <w:szCs w:val="24"/>
          <w:lang w:val="en-GB"/>
        </w:rPr>
        <w:t>ractice in dealing with the</w:t>
      </w:r>
      <w:r w:rsidRPr="00100028">
        <w:rPr>
          <w:rFonts w:asciiTheme="majorBidi" w:hAnsiTheme="majorBidi" w:cstheme="majorBidi"/>
          <w:sz w:val="24"/>
          <w:szCs w:val="24"/>
          <w:lang w:val="en-GB"/>
        </w:rPr>
        <w:t xml:space="preserve"> inhabitants of East Jerusalem originates from the </w:t>
      </w:r>
      <w:proofErr w:type="spellStart"/>
      <w:r w:rsidRPr="00100028">
        <w:rPr>
          <w:rFonts w:asciiTheme="majorBidi" w:hAnsiTheme="majorBidi" w:cstheme="majorBidi"/>
          <w:i/>
          <w:iCs/>
          <w:sz w:val="24"/>
          <w:szCs w:val="24"/>
          <w:lang w:val="en-GB"/>
        </w:rPr>
        <w:t>Awad</w:t>
      </w:r>
      <w:proofErr w:type="spellEnd"/>
      <w:r w:rsidRPr="00100028">
        <w:rPr>
          <w:rFonts w:asciiTheme="majorBidi" w:hAnsiTheme="majorBidi" w:cstheme="majorBidi"/>
          <w:i/>
          <w:iCs/>
          <w:sz w:val="24"/>
          <w:szCs w:val="24"/>
          <w:lang w:val="en-GB"/>
        </w:rPr>
        <w:t xml:space="preserve"> v. Yitzhak Shamir</w:t>
      </w:r>
      <w:r w:rsidRPr="00100028">
        <w:rPr>
          <w:rFonts w:asciiTheme="majorBidi" w:hAnsiTheme="majorBidi" w:cstheme="majorBidi"/>
          <w:sz w:val="24"/>
          <w:szCs w:val="24"/>
          <w:lang w:val="en-GB"/>
        </w:rPr>
        <w:t xml:space="preserve"> </w:t>
      </w:r>
      <w:r w:rsidRPr="00100028">
        <w:rPr>
          <w:rFonts w:asciiTheme="majorBidi" w:hAnsiTheme="majorBidi" w:cstheme="majorBidi"/>
          <w:i/>
          <w:iCs/>
          <w:sz w:val="24"/>
          <w:szCs w:val="24"/>
          <w:lang w:val="en-GB"/>
        </w:rPr>
        <w:t>et al.</w:t>
      </w:r>
      <w:r w:rsidRPr="00100028">
        <w:rPr>
          <w:rFonts w:asciiTheme="majorBidi" w:hAnsiTheme="majorBidi" w:cstheme="majorBidi"/>
          <w:sz w:val="24"/>
          <w:szCs w:val="24"/>
          <w:lang w:val="en-GB"/>
        </w:rPr>
        <w:t xml:space="preserve"> case decided by the Israeli High Court of Justice on 5 June 1988.</w:t>
      </w:r>
      <w:r w:rsidR="008C2447" w:rsidRPr="00100028">
        <w:rPr>
          <w:rStyle w:val="FootnoteReference"/>
          <w:rFonts w:asciiTheme="majorBidi" w:hAnsiTheme="majorBidi" w:cstheme="majorBidi"/>
          <w:sz w:val="24"/>
          <w:szCs w:val="24"/>
          <w:lang w:val="en-GB"/>
        </w:rPr>
        <w:footnoteReference w:id="168"/>
      </w:r>
      <w:r w:rsidR="008C2447" w:rsidRPr="00100028">
        <w:rPr>
          <w:rFonts w:asciiTheme="majorBidi" w:hAnsiTheme="majorBidi" w:cstheme="majorBidi"/>
          <w:sz w:val="24"/>
          <w:szCs w:val="24"/>
          <w:lang w:val="en-GB"/>
        </w:rPr>
        <w:t xml:space="preserve"> In this case, the c</w:t>
      </w:r>
      <w:r w:rsidRPr="00100028">
        <w:rPr>
          <w:rFonts w:asciiTheme="majorBidi" w:hAnsiTheme="majorBidi" w:cstheme="majorBidi"/>
          <w:sz w:val="24"/>
          <w:szCs w:val="24"/>
          <w:lang w:val="en-GB"/>
        </w:rPr>
        <w:t xml:space="preserve">ourt held that permanent residency status is not citizenship and may be revoked due to residency abroad. This decision was used against the inhabitants, restricting their departure from the city and their </w:t>
      </w:r>
      <w:r w:rsidR="00887EB7" w:rsidRPr="00100028">
        <w:rPr>
          <w:rFonts w:asciiTheme="majorBidi" w:hAnsiTheme="majorBidi" w:cstheme="majorBidi"/>
          <w:sz w:val="24"/>
          <w:szCs w:val="24"/>
          <w:lang w:val="en-GB"/>
        </w:rPr>
        <w:t>acceptance of foreign citizenships</w:t>
      </w:r>
      <w:r w:rsidR="00A96F39" w:rsidRPr="00100028">
        <w:rPr>
          <w:rFonts w:asciiTheme="majorBidi" w:hAnsiTheme="majorBidi" w:cstheme="majorBidi"/>
          <w:sz w:val="24"/>
          <w:szCs w:val="24"/>
          <w:lang w:val="en-GB"/>
        </w:rPr>
        <w:t xml:space="preserve"> or residency abroad. It was estimated that Israel revoked the residency of over 13,000 East Jerusalemite </w:t>
      </w:r>
      <w:r w:rsidR="00887EB7" w:rsidRPr="00100028">
        <w:rPr>
          <w:rFonts w:asciiTheme="majorBidi" w:hAnsiTheme="majorBidi" w:cstheme="majorBidi"/>
          <w:sz w:val="24"/>
          <w:szCs w:val="24"/>
          <w:lang w:val="en-GB"/>
        </w:rPr>
        <w:t>between 1967 and</w:t>
      </w:r>
      <w:r w:rsidR="00A96F39" w:rsidRPr="00100028">
        <w:rPr>
          <w:rFonts w:asciiTheme="majorBidi" w:hAnsiTheme="majorBidi" w:cstheme="majorBidi"/>
          <w:sz w:val="24"/>
          <w:szCs w:val="24"/>
          <w:lang w:val="en-GB"/>
        </w:rPr>
        <w:t xml:space="preserve"> 2010,</w:t>
      </w:r>
      <w:r w:rsidR="00A96F39" w:rsidRPr="00100028">
        <w:rPr>
          <w:rStyle w:val="FootnoteReference"/>
          <w:rFonts w:asciiTheme="majorBidi" w:hAnsiTheme="majorBidi" w:cstheme="majorBidi"/>
          <w:sz w:val="24"/>
          <w:szCs w:val="24"/>
          <w:lang w:val="en-GB"/>
        </w:rPr>
        <w:footnoteReference w:id="169"/>
      </w:r>
      <w:r w:rsidR="00A96F39" w:rsidRPr="00100028">
        <w:rPr>
          <w:rFonts w:asciiTheme="majorBidi" w:hAnsiTheme="majorBidi" w:cstheme="majorBidi"/>
          <w:sz w:val="24"/>
          <w:szCs w:val="24"/>
          <w:lang w:val="en-GB"/>
        </w:rPr>
        <w:t xml:space="preserve"> </w:t>
      </w:r>
      <w:r w:rsidR="00887EB7" w:rsidRPr="00100028">
        <w:rPr>
          <w:rFonts w:asciiTheme="majorBidi" w:hAnsiTheme="majorBidi" w:cstheme="majorBidi"/>
          <w:sz w:val="24"/>
          <w:szCs w:val="24"/>
          <w:lang w:val="en-GB"/>
        </w:rPr>
        <w:t>through a policy</w:t>
      </w:r>
      <w:r w:rsidRPr="00100028">
        <w:rPr>
          <w:rFonts w:asciiTheme="majorBidi" w:hAnsiTheme="majorBidi" w:cstheme="majorBidi"/>
          <w:sz w:val="24"/>
          <w:szCs w:val="24"/>
          <w:lang w:val="en-GB"/>
        </w:rPr>
        <w:t xml:space="preserve"> known as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quiet deportation</w:t>
      </w:r>
      <w:r w:rsidR="007D0218"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w:t>
      </w:r>
      <w:r w:rsidR="008C2447" w:rsidRPr="00100028">
        <w:rPr>
          <w:rStyle w:val="FootnoteReference"/>
          <w:rFonts w:asciiTheme="majorBidi" w:hAnsiTheme="majorBidi" w:cstheme="majorBidi"/>
          <w:sz w:val="24"/>
          <w:szCs w:val="24"/>
          <w:lang w:val="en-GB"/>
        </w:rPr>
        <w:footnoteReference w:id="170"/>
      </w:r>
      <w:r w:rsidRPr="00100028">
        <w:rPr>
          <w:rFonts w:asciiTheme="majorBidi" w:hAnsiTheme="majorBidi" w:cstheme="majorBidi"/>
          <w:sz w:val="24"/>
          <w:szCs w:val="24"/>
          <w:lang w:val="en-GB"/>
        </w:rPr>
        <w:t xml:space="preserve"> Family reunification for East Jerusalemites </w:t>
      </w:r>
      <w:r w:rsidR="001A7C77" w:rsidRPr="00100028">
        <w:rPr>
          <w:rFonts w:asciiTheme="majorBidi" w:hAnsiTheme="majorBidi" w:cstheme="majorBidi"/>
          <w:sz w:val="24"/>
          <w:szCs w:val="24"/>
          <w:lang w:val="en-GB"/>
        </w:rPr>
        <w:t xml:space="preserve">(as well as Arab Israelis of Palestinian origin) </w:t>
      </w:r>
      <w:r w:rsidRPr="00100028">
        <w:rPr>
          <w:rFonts w:asciiTheme="majorBidi" w:hAnsiTheme="majorBidi" w:cstheme="majorBidi"/>
          <w:sz w:val="24"/>
          <w:szCs w:val="24"/>
          <w:lang w:val="en-GB"/>
        </w:rPr>
        <w:t>whose spouses are from outsid</w:t>
      </w:r>
      <w:r w:rsidR="00887EB7" w:rsidRPr="00100028">
        <w:rPr>
          <w:rFonts w:asciiTheme="majorBidi" w:hAnsiTheme="majorBidi" w:cstheme="majorBidi"/>
          <w:sz w:val="24"/>
          <w:szCs w:val="24"/>
          <w:lang w:val="en-GB"/>
        </w:rPr>
        <w:t>e the city, notably from the West Bank</w:t>
      </w:r>
      <w:r w:rsidRPr="00100028">
        <w:rPr>
          <w:rFonts w:asciiTheme="majorBidi" w:hAnsiTheme="majorBidi" w:cstheme="majorBidi"/>
          <w:sz w:val="24"/>
          <w:szCs w:val="24"/>
          <w:lang w:val="en-GB"/>
        </w:rPr>
        <w:t>, is granted in rare cases.</w:t>
      </w:r>
      <w:r w:rsidR="001A7C77" w:rsidRPr="00100028">
        <w:rPr>
          <w:rStyle w:val="FootnoteReference"/>
          <w:rFonts w:asciiTheme="majorBidi" w:hAnsiTheme="majorBidi" w:cstheme="majorBidi"/>
          <w:sz w:val="24"/>
          <w:szCs w:val="24"/>
          <w:lang w:val="en-GB"/>
        </w:rPr>
        <w:footnoteReference w:id="171"/>
      </w:r>
      <w:r w:rsidRPr="00100028">
        <w:rPr>
          <w:rFonts w:asciiTheme="majorBidi" w:hAnsiTheme="majorBidi" w:cstheme="majorBidi"/>
          <w:sz w:val="24"/>
          <w:szCs w:val="24"/>
          <w:lang w:val="en-GB"/>
        </w:rPr>
        <w:t xml:space="preserve"> In short, the status of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permanent residence</w:t>
      </w:r>
      <w:r w:rsidR="007D0218"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 xml:space="preserve"> for Arabs in Jerusalem is not guaranteed.</w:t>
      </w:r>
    </w:p>
    <w:p w:rsidR="00D95685" w:rsidRPr="00100028" w:rsidRDefault="00D95685"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The status of East Jerusalemites is anomalous. This anomaly is a result of the Israeli policy of reducing </w:t>
      </w:r>
      <w:r w:rsidR="00D652E5" w:rsidRPr="00100028">
        <w:rPr>
          <w:rFonts w:asciiTheme="majorBidi" w:hAnsiTheme="majorBidi" w:cstheme="majorBidi"/>
          <w:sz w:val="24"/>
          <w:szCs w:val="24"/>
          <w:lang w:val="en-GB"/>
        </w:rPr>
        <w:t>the Arab population of the city to the absolute minimum.</w:t>
      </w:r>
      <w:r w:rsidRPr="00100028">
        <w:rPr>
          <w:rFonts w:asciiTheme="majorBidi" w:hAnsiTheme="majorBidi" w:cstheme="majorBidi"/>
          <w:sz w:val="24"/>
          <w:szCs w:val="24"/>
          <w:lang w:val="en-GB"/>
        </w:rPr>
        <w:t xml:space="preserve"> Jerusalem status places the inhabitants in a peculiar </w:t>
      </w:r>
      <w:r w:rsidR="00613F67" w:rsidRPr="00100028">
        <w:rPr>
          <w:rFonts w:asciiTheme="majorBidi" w:hAnsiTheme="majorBidi" w:cstheme="majorBidi"/>
          <w:sz w:val="24"/>
          <w:szCs w:val="24"/>
          <w:lang w:val="en-GB"/>
        </w:rPr>
        <w:t>(</w:t>
      </w:r>
      <w:r w:rsidR="00613F67" w:rsidRPr="00100028">
        <w:rPr>
          <w:rFonts w:asciiTheme="majorBidi" w:hAnsiTheme="majorBidi" w:cstheme="majorBidi"/>
          <w:i/>
          <w:iCs/>
          <w:color w:val="000000"/>
          <w:sz w:val="24"/>
          <w:szCs w:val="24"/>
          <w:lang w:val="en-GB"/>
        </w:rPr>
        <w:t>sui generis</w:t>
      </w:r>
      <w:r w:rsidR="00613F67" w:rsidRPr="00100028">
        <w:rPr>
          <w:rFonts w:asciiTheme="majorBidi" w:hAnsiTheme="majorBidi" w:cstheme="majorBidi"/>
          <w:sz w:val="24"/>
          <w:szCs w:val="24"/>
          <w:lang w:val="en-GB"/>
        </w:rPr>
        <w:t xml:space="preserve">) </w:t>
      </w:r>
      <w:r w:rsidRPr="00100028">
        <w:rPr>
          <w:rFonts w:asciiTheme="majorBidi" w:hAnsiTheme="majorBidi" w:cstheme="majorBidi"/>
          <w:sz w:val="24"/>
          <w:szCs w:val="24"/>
          <w:lang w:val="en-GB"/>
        </w:rPr>
        <w:t>situation. They can still get temporary Jordanian passports without being considered as Jordanians, as in the case of West Bankers.</w:t>
      </w:r>
      <w:r w:rsidR="00613F67" w:rsidRPr="00100028">
        <w:rPr>
          <w:rStyle w:val="FootnoteReference"/>
          <w:rFonts w:asciiTheme="majorBidi" w:hAnsiTheme="majorBidi" w:cstheme="majorBidi"/>
          <w:sz w:val="24"/>
          <w:szCs w:val="24"/>
          <w:lang w:val="en-GB"/>
        </w:rPr>
        <w:footnoteReference w:id="172"/>
      </w:r>
      <w:r w:rsidRPr="00100028">
        <w:rPr>
          <w:rFonts w:asciiTheme="majorBidi" w:hAnsiTheme="majorBidi" w:cstheme="majorBidi"/>
          <w:sz w:val="24"/>
          <w:szCs w:val="24"/>
          <w:lang w:val="en-GB"/>
        </w:rPr>
        <w:t xml:space="preserve"> As mentioned above, they have the right </w:t>
      </w:r>
      <w:r w:rsidR="00D652E5" w:rsidRPr="00100028">
        <w:rPr>
          <w:rFonts w:asciiTheme="majorBidi" w:hAnsiTheme="majorBidi" w:cstheme="majorBidi"/>
          <w:sz w:val="24"/>
          <w:szCs w:val="24"/>
          <w:lang w:val="en-GB"/>
        </w:rPr>
        <w:t>to apply for Israeli citizenship. For the PA</w:t>
      </w:r>
      <w:r w:rsidRPr="00100028">
        <w:rPr>
          <w:rFonts w:asciiTheme="majorBidi" w:hAnsiTheme="majorBidi" w:cstheme="majorBidi"/>
          <w:sz w:val="24"/>
          <w:szCs w:val="24"/>
          <w:lang w:val="en-GB"/>
        </w:rPr>
        <w:t>, Jerusalem inhabitants are considered to be Palestinians, notwithstanding minor exceptions such as those men</w:t>
      </w:r>
      <w:r w:rsidR="00887EB7" w:rsidRPr="00100028">
        <w:rPr>
          <w:rFonts w:asciiTheme="majorBidi" w:hAnsiTheme="majorBidi" w:cstheme="majorBidi"/>
          <w:sz w:val="24"/>
          <w:szCs w:val="24"/>
          <w:lang w:val="en-GB"/>
        </w:rPr>
        <w:t>tioned above</w:t>
      </w:r>
      <w:r w:rsidRPr="00100028">
        <w:rPr>
          <w:rFonts w:asciiTheme="majorBidi" w:hAnsiTheme="majorBidi" w:cstheme="majorBidi"/>
          <w:sz w:val="24"/>
          <w:szCs w:val="24"/>
          <w:lang w:val="en-GB"/>
        </w:rPr>
        <w:t>.</w:t>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613F67"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Under normal conditions, namely</w:t>
      </w:r>
      <w:r w:rsidR="00887EB7" w:rsidRPr="00100028">
        <w:rPr>
          <w:rFonts w:asciiTheme="majorBidi" w:hAnsiTheme="majorBidi" w:cstheme="majorBidi"/>
          <w:sz w:val="24"/>
          <w:szCs w:val="24"/>
          <w:lang w:val="en-GB"/>
        </w:rPr>
        <w:t xml:space="preserve"> if East Jerusalem was</w:t>
      </w:r>
      <w:r w:rsidR="00A52788" w:rsidRPr="00100028">
        <w:rPr>
          <w:rFonts w:asciiTheme="majorBidi" w:hAnsiTheme="majorBidi" w:cstheme="majorBidi"/>
          <w:sz w:val="24"/>
          <w:szCs w:val="24"/>
          <w:lang w:val="en-GB"/>
        </w:rPr>
        <w:t xml:space="preserve"> to become part of the </w:t>
      </w:r>
      <w:r w:rsidR="00FE2B16" w:rsidRPr="00100028">
        <w:rPr>
          <w:rFonts w:asciiTheme="majorBidi" w:hAnsiTheme="majorBidi" w:cstheme="majorBidi"/>
          <w:sz w:val="24"/>
          <w:szCs w:val="24"/>
          <w:lang w:val="en-GB"/>
        </w:rPr>
        <w:t>State</w:t>
      </w:r>
      <w:r w:rsidR="00A52788" w:rsidRPr="00100028">
        <w:rPr>
          <w:rFonts w:asciiTheme="majorBidi" w:hAnsiTheme="majorBidi" w:cstheme="majorBidi"/>
          <w:sz w:val="24"/>
          <w:szCs w:val="24"/>
          <w:lang w:val="en-GB"/>
        </w:rPr>
        <w:t xml:space="preserve"> of Palestine, t</w:t>
      </w:r>
      <w:r w:rsidRPr="00100028">
        <w:rPr>
          <w:rFonts w:asciiTheme="majorBidi" w:hAnsiTheme="majorBidi" w:cstheme="majorBidi"/>
          <w:sz w:val="24"/>
          <w:szCs w:val="24"/>
          <w:lang w:val="en-GB"/>
        </w:rPr>
        <w:t>he inhabitants of the city</w:t>
      </w:r>
      <w:r w:rsidR="00A52788" w:rsidRPr="00100028">
        <w:rPr>
          <w:rFonts w:asciiTheme="majorBidi" w:hAnsiTheme="majorBidi" w:cstheme="majorBidi"/>
          <w:sz w:val="24"/>
          <w:szCs w:val="24"/>
          <w:lang w:val="en-GB"/>
        </w:rPr>
        <w:t xml:space="preserve"> would automatically</w:t>
      </w:r>
      <w:r w:rsidR="00D652E5" w:rsidRPr="00100028">
        <w:rPr>
          <w:rFonts w:asciiTheme="majorBidi" w:hAnsiTheme="majorBidi" w:cstheme="majorBidi"/>
          <w:sz w:val="24"/>
          <w:szCs w:val="24"/>
          <w:lang w:val="en-GB"/>
        </w:rPr>
        <w:t xml:space="preserve"> acquire Palestinian citizenship</w:t>
      </w:r>
      <w:r w:rsidR="00A52788" w:rsidRPr="00100028">
        <w:rPr>
          <w:rFonts w:asciiTheme="majorBidi" w:hAnsiTheme="majorBidi" w:cstheme="majorBidi"/>
          <w:sz w:val="24"/>
          <w:szCs w:val="24"/>
          <w:lang w:val="en-GB"/>
        </w:rPr>
        <w:t>, as in the case of West Bankers and Gazans. However, given the complex statuses that have be</w:t>
      </w:r>
      <w:r w:rsidR="00D652E5" w:rsidRPr="00100028">
        <w:rPr>
          <w:rFonts w:asciiTheme="majorBidi" w:hAnsiTheme="majorBidi" w:cstheme="majorBidi"/>
          <w:sz w:val="24"/>
          <w:szCs w:val="24"/>
          <w:lang w:val="en-GB"/>
        </w:rPr>
        <w:t>en wilfully engineered</w:t>
      </w:r>
      <w:r w:rsidR="00A52788" w:rsidRPr="00100028">
        <w:rPr>
          <w:rFonts w:asciiTheme="majorBidi" w:hAnsiTheme="majorBidi" w:cstheme="majorBidi"/>
          <w:sz w:val="24"/>
          <w:szCs w:val="24"/>
          <w:lang w:val="en-GB"/>
        </w:rPr>
        <w:t xml:space="preserve"> </w:t>
      </w:r>
      <w:r w:rsidRPr="00100028">
        <w:rPr>
          <w:rFonts w:asciiTheme="majorBidi" w:hAnsiTheme="majorBidi" w:cstheme="majorBidi"/>
          <w:sz w:val="24"/>
          <w:szCs w:val="24"/>
          <w:lang w:val="en-GB"/>
        </w:rPr>
        <w:t xml:space="preserve">by Israel </w:t>
      </w:r>
      <w:r w:rsidR="00A52788" w:rsidRPr="00100028">
        <w:rPr>
          <w:rFonts w:asciiTheme="majorBidi" w:hAnsiTheme="majorBidi" w:cstheme="majorBidi"/>
          <w:sz w:val="24"/>
          <w:szCs w:val="24"/>
          <w:lang w:val="en-GB"/>
        </w:rPr>
        <w:t xml:space="preserve">in order to minimize the number of Palestinians in </w:t>
      </w:r>
      <w:r w:rsidR="00D652E5" w:rsidRPr="00100028">
        <w:rPr>
          <w:rFonts w:asciiTheme="majorBidi" w:hAnsiTheme="majorBidi" w:cstheme="majorBidi"/>
          <w:sz w:val="24"/>
          <w:szCs w:val="24"/>
          <w:lang w:val="en-GB"/>
        </w:rPr>
        <w:t>the city, the future citizenship</w:t>
      </w:r>
      <w:r w:rsidR="00A52788" w:rsidRPr="00100028">
        <w:rPr>
          <w:rFonts w:asciiTheme="majorBidi" w:hAnsiTheme="majorBidi" w:cstheme="majorBidi"/>
          <w:sz w:val="24"/>
          <w:szCs w:val="24"/>
          <w:lang w:val="en-GB"/>
        </w:rPr>
        <w:t xml:space="preserve"> of East Jerusalemites needs to be examined in det</w:t>
      </w:r>
      <w:r w:rsidR="00D652E5" w:rsidRPr="00100028">
        <w:rPr>
          <w:rFonts w:asciiTheme="majorBidi" w:hAnsiTheme="majorBidi" w:cstheme="majorBidi"/>
          <w:sz w:val="24"/>
          <w:szCs w:val="24"/>
          <w:lang w:val="en-GB"/>
        </w:rPr>
        <w:t>ail. The granting of citizenship</w:t>
      </w:r>
      <w:r w:rsidR="00A52788" w:rsidRPr="00100028">
        <w:rPr>
          <w:rFonts w:asciiTheme="majorBidi" w:hAnsiTheme="majorBidi" w:cstheme="majorBidi"/>
          <w:sz w:val="24"/>
          <w:szCs w:val="24"/>
          <w:lang w:val="en-GB"/>
        </w:rPr>
        <w:t xml:space="preserve"> to </w:t>
      </w:r>
      <w:r w:rsidR="00D652E5" w:rsidRPr="00100028">
        <w:rPr>
          <w:rFonts w:asciiTheme="majorBidi" w:hAnsiTheme="majorBidi" w:cstheme="majorBidi"/>
          <w:sz w:val="24"/>
          <w:szCs w:val="24"/>
          <w:lang w:val="en-GB"/>
        </w:rPr>
        <w:t xml:space="preserve">such persons </w:t>
      </w:r>
      <w:r w:rsidR="00A52788" w:rsidRPr="00100028">
        <w:rPr>
          <w:rFonts w:asciiTheme="majorBidi" w:hAnsiTheme="majorBidi" w:cstheme="majorBidi"/>
          <w:sz w:val="24"/>
          <w:szCs w:val="24"/>
          <w:lang w:val="en-GB"/>
        </w:rPr>
        <w:t>should be carefully worded and the implications carefully</w:t>
      </w:r>
      <w:r w:rsidR="00D652E5" w:rsidRPr="00100028">
        <w:rPr>
          <w:rFonts w:asciiTheme="majorBidi" w:hAnsiTheme="majorBidi" w:cstheme="majorBidi"/>
          <w:sz w:val="24"/>
          <w:szCs w:val="24"/>
          <w:lang w:val="en-GB"/>
        </w:rPr>
        <w:t xml:space="preserve"> considered because Israel may</w:t>
      </w:r>
      <w:r w:rsidR="00A52788" w:rsidRPr="00100028">
        <w:rPr>
          <w:rFonts w:asciiTheme="majorBidi" w:hAnsiTheme="majorBidi" w:cstheme="majorBidi"/>
          <w:sz w:val="24"/>
          <w:szCs w:val="24"/>
          <w:lang w:val="en-GB"/>
        </w:rPr>
        <w:t xml:space="preserve"> use the</w:t>
      </w:r>
      <w:r w:rsidR="00D652E5" w:rsidRPr="00100028">
        <w:rPr>
          <w:rFonts w:asciiTheme="majorBidi" w:hAnsiTheme="majorBidi" w:cstheme="majorBidi"/>
          <w:sz w:val="24"/>
          <w:szCs w:val="24"/>
          <w:lang w:val="en-GB"/>
        </w:rPr>
        <w:t xml:space="preserve"> acquisition of such status</w:t>
      </w:r>
      <w:r w:rsidR="00A52788" w:rsidRPr="00100028">
        <w:rPr>
          <w:rFonts w:asciiTheme="majorBidi" w:hAnsiTheme="majorBidi" w:cstheme="majorBidi"/>
          <w:sz w:val="24"/>
          <w:szCs w:val="24"/>
          <w:lang w:val="en-GB"/>
        </w:rPr>
        <w:t xml:space="preserve"> as a pretext to revok</w:t>
      </w:r>
      <w:r w:rsidR="00D652E5" w:rsidRPr="00100028">
        <w:rPr>
          <w:rFonts w:asciiTheme="majorBidi" w:hAnsiTheme="majorBidi" w:cstheme="majorBidi"/>
          <w:sz w:val="24"/>
          <w:szCs w:val="24"/>
          <w:lang w:val="en-GB"/>
        </w:rPr>
        <w:t>e the inhabitants</w:t>
      </w:r>
      <w:r w:rsidR="00F130C3" w:rsidRPr="00100028">
        <w:rPr>
          <w:rFonts w:asciiTheme="majorBidi" w:hAnsiTheme="majorBidi" w:cstheme="majorBidi"/>
          <w:sz w:val="24"/>
          <w:szCs w:val="24"/>
          <w:lang w:val="en-GB"/>
        </w:rPr>
        <w:t>’</w:t>
      </w:r>
      <w:r w:rsidR="00D652E5" w:rsidRPr="00100028">
        <w:rPr>
          <w:rFonts w:asciiTheme="majorBidi" w:hAnsiTheme="majorBidi" w:cstheme="majorBidi"/>
          <w:sz w:val="24"/>
          <w:szCs w:val="24"/>
          <w:lang w:val="en-GB"/>
        </w:rPr>
        <w:t xml:space="preserve"> residency</w:t>
      </w:r>
      <w:r w:rsidR="00A52788" w:rsidRPr="00100028">
        <w:rPr>
          <w:rFonts w:asciiTheme="majorBidi" w:hAnsiTheme="majorBidi" w:cstheme="majorBidi"/>
          <w:sz w:val="24"/>
          <w:szCs w:val="24"/>
          <w:lang w:val="en-GB"/>
        </w:rPr>
        <w:t>. This scenario wo</w:t>
      </w:r>
      <w:r w:rsidR="00887EB7" w:rsidRPr="00100028">
        <w:rPr>
          <w:rFonts w:asciiTheme="majorBidi" w:hAnsiTheme="majorBidi" w:cstheme="majorBidi"/>
          <w:sz w:val="24"/>
          <w:szCs w:val="24"/>
          <w:lang w:val="en-GB"/>
        </w:rPr>
        <w:t>uld apply if East Jerusalem was</w:t>
      </w:r>
      <w:r w:rsidR="00A52788" w:rsidRPr="00100028">
        <w:rPr>
          <w:rFonts w:asciiTheme="majorBidi" w:hAnsiTheme="majorBidi" w:cstheme="majorBidi"/>
          <w:sz w:val="24"/>
          <w:szCs w:val="24"/>
          <w:lang w:val="en-GB"/>
        </w:rPr>
        <w:t xml:space="preserve"> to remain under Israeli control.</w:t>
      </w:r>
    </w:p>
    <w:p w:rsidR="00901644" w:rsidRPr="00100028" w:rsidRDefault="00901644" w:rsidP="00100028">
      <w:pPr>
        <w:bidi w:val="0"/>
        <w:jc w:val="both"/>
        <w:rPr>
          <w:rFonts w:asciiTheme="majorBidi" w:hAnsiTheme="majorBidi" w:cstheme="majorBidi"/>
          <w:b/>
          <w:bCs/>
          <w:sz w:val="24"/>
          <w:szCs w:val="24"/>
          <w:lang w:val="en-GB"/>
        </w:rPr>
      </w:pPr>
    </w:p>
    <w:p w:rsidR="00A52788" w:rsidRPr="00100028" w:rsidRDefault="00887EB7" w:rsidP="00100028">
      <w:pPr>
        <w:pStyle w:val="ListParagraph"/>
        <w:numPr>
          <w:ilvl w:val="0"/>
          <w:numId w:val="7"/>
        </w:numPr>
        <w:spacing w:after="0"/>
        <w:jc w:val="both"/>
        <w:rPr>
          <w:rFonts w:asciiTheme="majorBidi" w:hAnsiTheme="majorBidi" w:cstheme="majorBidi"/>
          <w:b/>
          <w:bCs/>
          <w:szCs w:val="24"/>
          <w:lang w:val="en-GB"/>
        </w:rPr>
      </w:pPr>
      <w:r w:rsidRPr="00100028">
        <w:rPr>
          <w:rFonts w:asciiTheme="majorBidi" w:hAnsiTheme="majorBidi" w:cstheme="majorBidi"/>
          <w:b/>
          <w:bCs/>
          <w:szCs w:val="24"/>
          <w:lang w:val="en-GB"/>
        </w:rPr>
        <w:t xml:space="preserve">Persons </w:t>
      </w:r>
      <w:r w:rsidR="009017CA" w:rsidRPr="00100028">
        <w:rPr>
          <w:rFonts w:asciiTheme="majorBidi" w:hAnsiTheme="majorBidi" w:cstheme="majorBidi"/>
          <w:b/>
          <w:bCs/>
          <w:szCs w:val="24"/>
          <w:lang w:val="en-GB"/>
        </w:rPr>
        <w:t>D</w:t>
      </w:r>
      <w:r w:rsidR="00D60ABE" w:rsidRPr="00100028">
        <w:rPr>
          <w:rFonts w:asciiTheme="majorBidi" w:hAnsiTheme="majorBidi" w:cstheme="majorBidi"/>
          <w:b/>
          <w:bCs/>
          <w:szCs w:val="24"/>
          <w:lang w:val="en-GB"/>
        </w:rPr>
        <w:t>isplaced from the</w:t>
      </w:r>
      <w:r w:rsidR="00A52788" w:rsidRPr="00100028">
        <w:rPr>
          <w:rFonts w:asciiTheme="majorBidi" w:hAnsiTheme="majorBidi" w:cstheme="majorBidi"/>
          <w:b/>
          <w:bCs/>
          <w:szCs w:val="24"/>
          <w:lang w:val="en-GB"/>
        </w:rPr>
        <w:t xml:space="preserve"> 1967</w:t>
      </w:r>
      <w:r w:rsidR="00D60ABE" w:rsidRPr="00100028">
        <w:rPr>
          <w:rFonts w:asciiTheme="majorBidi" w:hAnsiTheme="majorBidi" w:cstheme="majorBidi"/>
          <w:b/>
          <w:bCs/>
          <w:szCs w:val="24"/>
          <w:lang w:val="en-GB"/>
        </w:rPr>
        <w:t xml:space="preserve"> Territory</w:t>
      </w:r>
    </w:p>
    <w:p w:rsidR="00A52788" w:rsidRPr="00100028" w:rsidRDefault="00A52788" w:rsidP="00100028">
      <w:pPr>
        <w:bidi w:val="0"/>
        <w:jc w:val="both"/>
        <w:rPr>
          <w:rFonts w:asciiTheme="majorBidi" w:hAnsiTheme="majorBidi" w:cstheme="majorBidi"/>
          <w:b/>
          <w:bCs/>
          <w:sz w:val="24"/>
          <w:szCs w:val="24"/>
          <w:lang w:val="en-GB"/>
        </w:rPr>
      </w:pPr>
    </w:p>
    <w:p w:rsidR="00D652E5" w:rsidRPr="00100028" w:rsidRDefault="00D020E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This group of individuals</w:t>
      </w:r>
      <w:r w:rsidR="00A52788" w:rsidRPr="00100028">
        <w:rPr>
          <w:rFonts w:asciiTheme="majorBidi" w:hAnsiTheme="majorBidi" w:cstheme="majorBidi"/>
          <w:sz w:val="24"/>
          <w:szCs w:val="24"/>
          <w:lang w:val="en-GB"/>
        </w:rPr>
        <w:t xml:space="preserve"> was displaced from the West Ba</w:t>
      </w:r>
      <w:r w:rsidR="00D60ABE" w:rsidRPr="00100028">
        <w:rPr>
          <w:rFonts w:asciiTheme="majorBidi" w:hAnsiTheme="majorBidi" w:cstheme="majorBidi"/>
          <w:sz w:val="24"/>
          <w:szCs w:val="24"/>
          <w:lang w:val="en-GB"/>
        </w:rPr>
        <w:t>nk and the Gaza Strip before, during,</w:t>
      </w:r>
      <w:r w:rsidR="00A52788" w:rsidRPr="00100028">
        <w:rPr>
          <w:rFonts w:asciiTheme="majorBidi" w:hAnsiTheme="majorBidi" w:cstheme="majorBidi"/>
          <w:sz w:val="24"/>
          <w:szCs w:val="24"/>
          <w:lang w:val="en-GB"/>
        </w:rPr>
        <w:t xml:space="preserve"> </w:t>
      </w:r>
      <w:r w:rsidR="00D60ABE" w:rsidRPr="00100028">
        <w:rPr>
          <w:rFonts w:asciiTheme="majorBidi" w:hAnsiTheme="majorBidi" w:cstheme="majorBidi"/>
          <w:sz w:val="24"/>
          <w:szCs w:val="24"/>
          <w:lang w:val="en-GB"/>
        </w:rPr>
        <w:t xml:space="preserve">or </w:t>
      </w:r>
      <w:r w:rsidR="00A52788" w:rsidRPr="00100028">
        <w:rPr>
          <w:rFonts w:asciiTheme="majorBidi" w:hAnsiTheme="majorBidi" w:cstheme="majorBidi"/>
          <w:sz w:val="24"/>
          <w:szCs w:val="24"/>
          <w:lang w:val="en-GB"/>
        </w:rPr>
        <w:t>after the 1967 Arab-Israeli war. Over 400,000 persons belonging to this category</w:t>
      </w:r>
      <w:r w:rsidR="008D2028" w:rsidRPr="00100028">
        <w:rPr>
          <w:rFonts w:asciiTheme="majorBidi" w:hAnsiTheme="majorBidi" w:cstheme="majorBidi"/>
          <w:sz w:val="24"/>
          <w:szCs w:val="24"/>
          <w:lang w:val="en-GB"/>
        </w:rPr>
        <w:t xml:space="preserve"> left the occupied territory in 1967</w:t>
      </w:r>
      <w:r w:rsidR="00A52788" w:rsidRPr="00100028">
        <w:rPr>
          <w:rFonts w:asciiTheme="majorBidi" w:hAnsiTheme="majorBidi" w:cstheme="majorBidi"/>
          <w:sz w:val="24"/>
          <w:szCs w:val="24"/>
          <w:lang w:val="en-GB"/>
        </w:rPr>
        <w:t>.</w:t>
      </w:r>
      <w:r w:rsidR="008D2028" w:rsidRPr="00100028">
        <w:rPr>
          <w:rStyle w:val="FootnoteReference"/>
          <w:rFonts w:asciiTheme="majorBidi" w:hAnsiTheme="majorBidi" w:cstheme="majorBidi"/>
          <w:sz w:val="24"/>
          <w:szCs w:val="24"/>
          <w:lang w:val="en-GB"/>
        </w:rPr>
        <w:footnoteReference w:id="173"/>
      </w:r>
      <w:r w:rsidR="00A52788" w:rsidRPr="00100028">
        <w:rPr>
          <w:rFonts w:asciiTheme="majorBidi" w:hAnsiTheme="majorBidi" w:cstheme="majorBidi"/>
          <w:sz w:val="24"/>
          <w:szCs w:val="24"/>
          <w:lang w:val="en-GB"/>
        </w:rPr>
        <w:t xml:space="preserve"> It is difficult to estimate the exact number of those currently displaced, as there i</w:t>
      </w:r>
      <w:r w:rsidRPr="00100028">
        <w:rPr>
          <w:rFonts w:asciiTheme="majorBidi" w:hAnsiTheme="majorBidi" w:cstheme="majorBidi"/>
          <w:sz w:val="24"/>
          <w:szCs w:val="24"/>
          <w:lang w:val="en-GB"/>
        </w:rPr>
        <w:t>s no central institution dedicated for</w:t>
      </w:r>
      <w:r w:rsidR="00A52788" w:rsidRPr="00100028">
        <w:rPr>
          <w:rFonts w:asciiTheme="majorBidi" w:hAnsiTheme="majorBidi" w:cstheme="majorBidi"/>
          <w:sz w:val="24"/>
          <w:szCs w:val="24"/>
          <w:lang w:val="en-GB"/>
        </w:rPr>
        <w:t xml:space="preserve"> collecting data regarding individuals belonging to this group in various parts of the world. Yet if one consider</w:t>
      </w:r>
      <w:r w:rsidR="008D2028" w:rsidRPr="00100028">
        <w:rPr>
          <w:rFonts w:asciiTheme="majorBidi" w:hAnsiTheme="majorBidi" w:cstheme="majorBidi"/>
          <w:sz w:val="24"/>
          <w:szCs w:val="24"/>
          <w:lang w:val="en-GB"/>
        </w:rPr>
        <w:t>s that the population of the occupied territory</w:t>
      </w:r>
      <w:r w:rsidR="00A52788" w:rsidRPr="00100028">
        <w:rPr>
          <w:rFonts w:asciiTheme="majorBidi" w:hAnsiTheme="majorBidi" w:cstheme="majorBidi"/>
          <w:sz w:val="24"/>
          <w:szCs w:val="24"/>
          <w:lang w:val="en-GB"/>
        </w:rPr>
        <w:t xml:space="preserve"> has increased over fourfold since 1967 and if this figure is used as an analogy for the group under consideration, it may be concluded that the grou</w:t>
      </w:r>
      <w:r w:rsidR="00635FF3" w:rsidRPr="00100028">
        <w:rPr>
          <w:rFonts w:asciiTheme="majorBidi" w:hAnsiTheme="majorBidi" w:cstheme="majorBidi"/>
          <w:sz w:val="24"/>
          <w:szCs w:val="24"/>
          <w:lang w:val="en-GB"/>
        </w:rPr>
        <w:t>p numbers at least 1.6</w:t>
      </w:r>
      <w:r w:rsidR="00D652E5" w:rsidRPr="00100028">
        <w:rPr>
          <w:rFonts w:asciiTheme="majorBidi" w:hAnsiTheme="majorBidi" w:cstheme="majorBidi"/>
          <w:sz w:val="24"/>
          <w:szCs w:val="24"/>
          <w:lang w:val="en-GB"/>
        </w:rPr>
        <w:t xml:space="preserve"> million.</w:t>
      </w:r>
      <w:r w:rsidR="00D42BF0" w:rsidRPr="00100028">
        <w:rPr>
          <w:rStyle w:val="FootnoteReference"/>
          <w:rFonts w:asciiTheme="majorBidi" w:hAnsiTheme="majorBidi" w:cstheme="majorBidi"/>
          <w:sz w:val="24"/>
          <w:szCs w:val="24"/>
          <w:lang w:val="en-GB"/>
        </w:rPr>
        <w:footnoteReference w:id="174"/>
      </w:r>
    </w:p>
    <w:p w:rsidR="00D652E5" w:rsidRPr="00100028" w:rsidRDefault="00D652E5"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Another category belonging to this group consists of inh</w:t>
      </w:r>
      <w:r w:rsidR="00D652E5" w:rsidRPr="00100028">
        <w:rPr>
          <w:rFonts w:asciiTheme="majorBidi" w:hAnsiTheme="majorBidi" w:cstheme="majorBidi"/>
          <w:sz w:val="24"/>
          <w:szCs w:val="24"/>
          <w:lang w:val="en-GB"/>
        </w:rPr>
        <w:t>abitants of the West Bank or Gaza</w:t>
      </w:r>
      <w:r w:rsidRPr="00100028">
        <w:rPr>
          <w:rFonts w:asciiTheme="majorBidi" w:hAnsiTheme="majorBidi" w:cstheme="majorBidi"/>
          <w:sz w:val="24"/>
          <w:szCs w:val="24"/>
          <w:lang w:val="en-GB"/>
        </w:rPr>
        <w:t xml:space="preserve"> who were deported by Israel or who have been denied the right of return since</w:t>
      </w:r>
      <w:r w:rsidR="00121785" w:rsidRPr="00100028">
        <w:rPr>
          <w:rFonts w:asciiTheme="majorBidi" w:hAnsiTheme="majorBidi" w:cstheme="majorBidi"/>
          <w:sz w:val="24"/>
          <w:szCs w:val="24"/>
          <w:lang w:val="en-GB"/>
        </w:rPr>
        <w:t xml:space="preserve"> June</w:t>
      </w:r>
      <w:r w:rsidRPr="00100028">
        <w:rPr>
          <w:rFonts w:asciiTheme="majorBidi" w:hAnsiTheme="majorBidi" w:cstheme="majorBidi"/>
          <w:sz w:val="24"/>
          <w:szCs w:val="24"/>
          <w:lang w:val="en-GB"/>
        </w:rPr>
        <w:t xml:space="preserve"> 1967. The status of the latter category, commonly known as </w:t>
      </w:r>
      <w:r w:rsidR="00893F12"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identity card losers</w:t>
      </w:r>
      <w:r w:rsidR="007D0218"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w:t>
      </w:r>
      <w:r w:rsidR="00950C2E" w:rsidRPr="00100028">
        <w:rPr>
          <w:rStyle w:val="FootnoteReference"/>
          <w:rFonts w:asciiTheme="majorBidi" w:hAnsiTheme="majorBidi" w:cstheme="majorBidi"/>
          <w:sz w:val="24"/>
          <w:szCs w:val="24"/>
          <w:lang w:val="en-GB"/>
        </w:rPr>
        <w:footnoteReference w:id="175"/>
      </w:r>
      <w:r w:rsidR="009D0A8E" w:rsidRPr="00100028">
        <w:rPr>
          <w:rFonts w:asciiTheme="majorBidi" w:hAnsiTheme="majorBidi" w:cstheme="majorBidi"/>
          <w:sz w:val="24"/>
          <w:szCs w:val="24"/>
          <w:lang w:val="en-GB"/>
        </w:rPr>
        <w:t xml:space="preserve"> was envisaged</w:t>
      </w:r>
      <w:r w:rsidRPr="00100028">
        <w:rPr>
          <w:rFonts w:asciiTheme="majorBidi" w:hAnsiTheme="majorBidi" w:cstheme="majorBidi"/>
          <w:sz w:val="24"/>
          <w:szCs w:val="24"/>
          <w:lang w:val="en-GB"/>
        </w:rPr>
        <w:t xml:space="preserve"> to be settled within the five-year transitional period following the</w:t>
      </w:r>
      <w:r w:rsidR="00D652E5" w:rsidRPr="00100028">
        <w:rPr>
          <w:rFonts w:asciiTheme="majorBidi" w:hAnsiTheme="majorBidi" w:cstheme="majorBidi"/>
          <w:sz w:val="24"/>
          <w:szCs w:val="24"/>
          <w:lang w:val="en-GB"/>
        </w:rPr>
        <w:t xml:space="preserve"> </w:t>
      </w:r>
      <w:r w:rsidR="00D020E8" w:rsidRPr="00100028">
        <w:rPr>
          <w:rFonts w:asciiTheme="majorBidi" w:hAnsiTheme="majorBidi" w:cstheme="majorBidi"/>
          <w:sz w:val="24"/>
          <w:szCs w:val="24"/>
          <w:lang w:val="en-GB"/>
        </w:rPr>
        <w:t xml:space="preserve">1995 </w:t>
      </w:r>
      <w:r w:rsidR="00D652E5" w:rsidRPr="00100028">
        <w:rPr>
          <w:rFonts w:asciiTheme="majorBidi" w:hAnsiTheme="majorBidi" w:cstheme="majorBidi"/>
          <w:sz w:val="24"/>
          <w:szCs w:val="24"/>
          <w:lang w:val="en-GB"/>
        </w:rPr>
        <w:t>Oslo Accords. Oslo II provided</w:t>
      </w:r>
      <w:r w:rsidR="009D0A8E" w:rsidRPr="00100028">
        <w:rPr>
          <w:rFonts w:asciiTheme="majorBidi" w:hAnsiTheme="majorBidi" w:cstheme="majorBidi"/>
          <w:sz w:val="24"/>
          <w:szCs w:val="24"/>
          <w:lang w:val="en-GB"/>
        </w:rPr>
        <w:t xml:space="preserve"> the basis for such</w:t>
      </w:r>
      <w:r w:rsidRPr="00100028">
        <w:rPr>
          <w:rFonts w:asciiTheme="majorBidi" w:hAnsiTheme="majorBidi" w:cstheme="majorBidi"/>
          <w:sz w:val="24"/>
          <w:szCs w:val="24"/>
          <w:lang w:val="en-GB"/>
        </w:rPr>
        <w:t xml:space="preserve"> settlement through the formation of a committee for the purpose.</w:t>
      </w:r>
      <w:r w:rsidR="00D652E5" w:rsidRPr="00100028">
        <w:rPr>
          <w:rStyle w:val="FootnoteReference"/>
          <w:rFonts w:asciiTheme="majorBidi" w:hAnsiTheme="majorBidi" w:cstheme="majorBidi"/>
          <w:sz w:val="24"/>
          <w:szCs w:val="24"/>
          <w:lang w:val="en-GB"/>
        </w:rPr>
        <w:footnoteReference w:id="176"/>
      </w:r>
      <w:r w:rsidRPr="00100028">
        <w:rPr>
          <w:rFonts w:asciiTheme="majorBidi" w:hAnsiTheme="majorBidi" w:cstheme="majorBidi"/>
          <w:sz w:val="24"/>
          <w:szCs w:val="24"/>
          <w:lang w:val="en-GB"/>
        </w:rPr>
        <w:t xml:space="preserve"> However, the t</w:t>
      </w:r>
      <w:r w:rsidR="009D0A8E" w:rsidRPr="00100028">
        <w:rPr>
          <w:rFonts w:asciiTheme="majorBidi" w:hAnsiTheme="majorBidi" w:cstheme="majorBidi"/>
          <w:sz w:val="24"/>
          <w:szCs w:val="24"/>
          <w:lang w:val="en-GB"/>
        </w:rPr>
        <w:t>ransitional period has lapsed</w:t>
      </w:r>
      <w:r w:rsidRPr="00100028">
        <w:rPr>
          <w:rFonts w:asciiTheme="majorBidi" w:hAnsiTheme="majorBidi" w:cstheme="majorBidi"/>
          <w:sz w:val="24"/>
          <w:szCs w:val="24"/>
          <w:lang w:val="en-GB"/>
        </w:rPr>
        <w:t xml:space="preserve"> and the status of this category has yet to be resolved.</w:t>
      </w:r>
      <w:r w:rsidR="00121785" w:rsidRPr="00100028">
        <w:rPr>
          <w:rStyle w:val="FootnoteReference"/>
          <w:rFonts w:asciiTheme="majorBidi" w:hAnsiTheme="majorBidi" w:cstheme="majorBidi"/>
          <w:sz w:val="24"/>
          <w:szCs w:val="24"/>
          <w:lang w:val="en-GB"/>
        </w:rPr>
        <w:footnoteReference w:id="177"/>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Under international law, these peoples are </w:t>
      </w:r>
      <w:r w:rsidR="008E56ED" w:rsidRPr="00100028">
        <w:rPr>
          <w:rFonts w:asciiTheme="majorBidi" w:hAnsiTheme="majorBidi" w:cstheme="majorBidi"/>
          <w:sz w:val="24"/>
          <w:szCs w:val="24"/>
          <w:lang w:val="en-GB"/>
        </w:rPr>
        <w:t xml:space="preserve">deemed as </w:t>
      </w:r>
      <w:r w:rsidRPr="00100028">
        <w:rPr>
          <w:rFonts w:asciiTheme="majorBidi" w:hAnsiTheme="majorBidi" w:cstheme="majorBidi"/>
          <w:sz w:val="24"/>
          <w:szCs w:val="24"/>
          <w:lang w:val="en-GB"/>
        </w:rPr>
        <w:t xml:space="preserve">ordinary refugees. </w:t>
      </w:r>
      <w:r w:rsidR="00DC28D8" w:rsidRPr="00100028">
        <w:rPr>
          <w:rFonts w:asciiTheme="majorBidi" w:hAnsiTheme="majorBidi" w:cstheme="majorBidi"/>
          <w:sz w:val="24"/>
          <w:szCs w:val="24"/>
          <w:lang w:val="en-GB"/>
        </w:rPr>
        <w:t>A number of</w:t>
      </w:r>
      <w:r w:rsidR="008E56ED" w:rsidRPr="00100028">
        <w:rPr>
          <w:rFonts w:asciiTheme="majorBidi" w:hAnsiTheme="majorBidi" w:cstheme="majorBidi"/>
          <w:sz w:val="24"/>
          <w:szCs w:val="24"/>
          <w:lang w:val="en-GB"/>
        </w:rPr>
        <w:t xml:space="preserve"> UN</w:t>
      </w:r>
      <w:r w:rsidR="00DC28D8" w:rsidRPr="00100028">
        <w:rPr>
          <w:rFonts w:asciiTheme="majorBidi" w:hAnsiTheme="majorBidi" w:cstheme="majorBidi"/>
          <w:sz w:val="24"/>
          <w:szCs w:val="24"/>
          <w:lang w:val="en-GB"/>
        </w:rPr>
        <w:t xml:space="preserve"> General Assembly resolutions </w:t>
      </w:r>
      <w:r w:rsidR="008E56ED" w:rsidRPr="00100028">
        <w:rPr>
          <w:rFonts w:asciiTheme="majorBidi" w:hAnsiTheme="majorBidi" w:cstheme="majorBidi"/>
          <w:sz w:val="24"/>
          <w:szCs w:val="24"/>
        </w:rPr>
        <w:t>regard as refugees those persons</w:t>
      </w:r>
      <w:r w:rsidR="00121785" w:rsidRPr="00100028">
        <w:rPr>
          <w:rFonts w:asciiTheme="majorBidi" w:hAnsiTheme="majorBidi" w:cstheme="majorBidi"/>
          <w:color w:val="000000" w:themeColor="text1"/>
          <w:sz w:val="24"/>
          <w:szCs w:val="24"/>
        </w:rPr>
        <w:t xml:space="preserve"> “</w:t>
      </w:r>
      <w:r w:rsidR="008E56ED" w:rsidRPr="00100028">
        <w:rPr>
          <w:rFonts w:asciiTheme="majorBidi" w:hAnsiTheme="majorBidi" w:cstheme="majorBidi"/>
          <w:sz w:val="24"/>
          <w:szCs w:val="24"/>
        </w:rPr>
        <w:t>displaced [...] as a result of the June 1967 and subsequent</w:t>
      </w:r>
      <w:r w:rsidR="00121785" w:rsidRPr="00100028">
        <w:rPr>
          <w:rFonts w:asciiTheme="majorBidi" w:hAnsiTheme="majorBidi" w:cstheme="majorBidi"/>
          <w:sz w:val="24"/>
          <w:szCs w:val="24"/>
        </w:rPr>
        <w:t xml:space="preserve"> hostilities</w:t>
      </w:r>
      <w:r w:rsidR="00121785" w:rsidRPr="00100028">
        <w:rPr>
          <w:rFonts w:asciiTheme="majorBidi" w:hAnsiTheme="majorBidi" w:cstheme="majorBidi"/>
          <w:color w:val="000000" w:themeColor="text1"/>
          <w:sz w:val="24"/>
          <w:szCs w:val="24"/>
        </w:rPr>
        <w:t>”.</w:t>
      </w:r>
      <w:r w:rsidR="008E56ED" w:rsidRPr="00100028">
        <w:rPr>
          <w:rStyle w:val="FootnoteReference"/>
          <w:rFonts w:asciiTheme="majorBidi" w:hAnsiTheme="majorBidi" w:cstheme="majorBidi"/>
          <w:sz w:val="24"/>
          <w:szCs w:val="24"/>
        </w:rPr>
        <w:footnoteReference w:id="178"/>
      </w:r>
      <w:r w:rsidR="008E56ED" w:rsidRPr="00100028">
        <w:rPr>
          <w:rFonts w:asciiTheme="majorBidi" w:hAnsiTheme="majorBidi" w:cstheme="majorBidi"/>
          <w:sz w:val="24"/>
          <w:szCs w:val="24"/>
        </w:rPr>
        <w:t xml:space="preserve"> UNRWA deals with those persons, in terms of assistance and protection, at the same footing as those who were displaced in the 1948 war.</w:t>
      </w:r>
      <w:r w:rsidR="00680952" w:rsidRPr="00100028">
        <w:rPr>
          <w:rStyle w:val="FootnoteReference"/>
          <w:rFonts w:asciiTheme="majorBidi" w:hAnsiTheme="majorBidi" w:cstheme="majorBidi"/>
          <w:sz w:val="24"/>
          <w:szCs w:val="24"/>
        </w:rPr>
        <w:footnoteReference w:id="179"/>
      </w:r>
      <w:r w:rsidR="008E56ED" w:rsidRPr="00100028">
        <w:rPr>
          <w:rFonts w:asciiTheme="majorBidi" w:hAnsiTheme="majorBidi" w:cstheme="majorBidi"/>
          <w:sz w:val="24"/>
          <w:szCs w:val="24"/>
        </w:rPr>
        <w:t xml:space="preserve"> </w:t>
      </w:r>
      <w:r w:rsidR="008E56ED" w:rsidRPr="00100028">
        <w:rPr>
          <w:rFonts w:asciiTheme="majorBidi" w:hAnsiTheme="majorBidi" w:cstheme="majorBidi"/>
          <w:sz w:val="24"/>
          <w:szCs w:val="24"/>
          <w:lang w:val="en-GB"/>
        </w:rPr>
        <w:t>T</w:t>
      </w:r>
      <w:r w:rsidR="00DC28D8" w:rsidRPr="00100028">
        <w:rPr>
          <w:rFonts w:asciiTheme="majorBidi" w:hAnsiTheme="majorBidi" w:cstheme="majorBidi"/>
          <w:sz w:val="24"/>
          <w:szCs w:val="24"/>
          <w:lang w:val="en-GB"/>
        </w:rPr>
        <w:t>he UN High Commissioner for Refugees</w:t>
      </w:r>
      <w:r w:rsidR="009D0A8E" w:rsidRPr="00100028">
        <w:rPr>
          <w:rFonts w:asciiTheme="majorBidi" w:hAnsiTheme="majorBidi" w:cstheme="majorBidi"/>
          <w:sz w:val="24"/>
          <w:szCs w:val="24"/>
          <w:lang w:val="en-GB"/>
        </w:rPr>
        <w:t xml:space="preserve"> does the same with respect</w:t>
      </w:r>
      <w:r w:rsidR="008E56ED" w:rsidRPr="00100028">
        <w:rPr>
          <w:rFonts w:asciiTheme="majorBidi" w:hAnsiTheme="majorBidi" w:cstheme="majorBidi"/>
          <w:sz w:val="24"/>
          <w:szCs w:val="24"/>
          <w:lang w:val="en-GB"/>
        </w:rPr>
        <w:t xml:space="preserve"> to this group of refugees who reside outside UNRWA areas of operation</w:t>
      </w:r>
      <w:r w:rsidR="00DC28D8" w:rsidRPr="00100028">
        <w:rPr>
          <w:rFonts w:asciiTheme="majorBidi" w:hAnsiTheme="majorBidi" w:cstheme="majorBidi"/>
          <w:sz w:val="24"/>
          <w:szCs w:val="24"/>
          <w:lang w:val="en-GB"/>
        </w:rPr>
        <w:t>.</w:t>
      </w:r>
      <w:r w:rsidR="00680952" w:rsidRPr="00100028">
        <w:rPr>
          <w:rStyle w:val="FootnoteReference"/>
          <w:rFonts w:asciiTheme="majorBidi" w:hAnsiTheme="majorBidi" w:cstheme="majorBidi"/>
          <w:sz w:val="24"/>
          <w:szCs w:val="24"/>
          <w:lang w:val="en-GB"/>
        </w:rPr>
        <w:footnoteReference w:id="180"/>
      </w:r>
      <w:r w:rsidR="00DC28D8" w:rsidRPr="00100028">
        <w:rPr>
          <w:rFonts w:asciiTheme="majorBidi" w:hAnsiTheme="majorBidi" w:cstheme="majorBidi"/>
          <w:sz w:val="24"/>
          <w:szCs w:val="24"/>
          <w:lang w:val="en-GB"/>
        </w:rPr>
        <w:t xml:space="preserve"> </w:t>
      </w:r>
      <w:r w:rsidR="00680952" w:rsidRPr="00100028">
        <w:rPr>
          <w:rFonts w:asciiTheme="majorBidi" w:hAnsiTheme="majorBidi" w:cstheme="majorBidi"/>
          <w:sz w:val="24"/>
          <w:szCs w:val="24"/>
          <w:lang w:val="en-GB"/>
        </w:rPr>
        <w:t>T</w:t>
      </w:r>
      <w:r w:rsidRPr="00100028">
        <w:rPr>
          <w:rFonts w:asciiTheme="majorBidi" w:hAnsiTheme="majorBidi" w:cstheme="majorBidi"/>
          <w:sz w:val="24"/>
          <w:szCs w:val="24"/>
          <w:lang w:val="en-GB"/>
        </w:rPr>
        <w:t xml:space="preserve">his category </w:t>
      </w:r>
      <w:r w:rsidR="009D0A8E" w:rsidRPr="00100028">
        <w:rPr>
          <w:rFonts w:asciiTheme="majorBidi" w:hAnsiTheme="majorBidi" w:cstheme="majorBidi"/>
          <w:sz w:val="24"/>
          <w:szCs w:val="24"/>
          <w:lang w:val="en-GB"/>
        </w:rPr>
        <w:t>of persons</w:t>
      </w:r>
      <w:r w:rsidR="00680952" w:rsidRPr="00100028">
        <w:rPr>
          <w:rFonts w:asciiTheme="majorBidi" w:hAnsiTheme="majorBidi" w:cstheme="majorBidi"/>
          <w:sz w:val="24"/>
          <w:szCs w:val="24"/>
          <w:lang w:val="en-GB"/>
        </w:rPr>
        <w:t xml:space="preserve"> has</w:t>
      </w:r>
      <w:r w:rsidRPr="00100028">
        <w:rPr>
          <w:rFonts w:asciiTheme="majorBidi" w:hAnsiTheme="majorBidi" w:cstheme="majorBidi"/>
          <w:sz w:val="24"/>
          <w:szCs w:val="24"/>
          <w:lang w:val="en-GB"/>
        </w:rPr>
        <w:t xml:space="preserve"> the right</w:t>
      </w:r>
      <w:r w:rsidR="00680952" w:rsidRPr="00100028">
        <w:rPr>
          <w:rFonts w:asciiTheme="majorBidi" w:hAnsiTheme="majorBidi" w:cstheme="majorBidi"/>
          <w:sz w:val="24"/>
          <w:szCs w:val="24"/>
          <w:lang w:val="en-GB"/>
        </w:rPr>
        <w:t xml:space="preserve"> of return</w:t>
      </w:r>
      <w:r w:rsidR="00D652E5" w:rsidRPr="00100028">
        <w:rPr>
          <w:rFonts w:asciiTheme="majorBidi" w:hAnsiTheme="majorBidi" w:cstheme="majorBidi"/>
          <w:sz w:val="24"/>
          <w:szCs w:val="24"/>
          <w:lang w:val="en-GB"/>
        </w:rPr>
        <w:t xml:space="preserve"> to the West Bank or Gaza</w:t>
      </w:r>
      <w:r w:rsidR="00B40A46" w:rsidRPr="00100028">
        <w:rPr>
          <w:rFonts w:asciiTheme="majorBidi" w:hAnsiTheme="majorBidi" w:cstheme="majorBidi"/>
          <w:sz w:val="24"/>
          <w:szCs w:val="24"/>
          <w:lang w:val="en-GB"/>
        </w:rPr>
        <w:t>, depending to their ordinary place of residence prior to displacement.</w:t>
      </w:r>
      <w:r w:rsidR="00FF4ACF" w:rsidRPr="00100028">
        <w:rPr>
          <w:rStyle w:val="FootnoteReference"/>
          <w:rFonts w:asciiTheme="majorBidi" w:hAnsiTheme="majorBidi" w:cstheme="majorBidi"/>
          <w:sz w:val="24"/>
          <w:szCs w:val="24"/>
          <w:lang w:val="en-GB"/>
        </w:rPr>
        <w:footnoteReference w:id="181"/>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Once they settle in the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 xml:space="preserve"> of Palestine and</w:t>
      </w:r>
      <w:r w:rsidR="0031083C" w:rsidRPr="00100028">
        <w:rPr>
          <w:rFonts w:asciiTheme="majorBidi" w:hAnsiTheme="majorBidi" w:cstheme="majorBidi"/>
          <w:sz w:val="24"/>
          <w:szCs w:val="24"/>
          <w:lang w:val="en-GB"/>
        </w:rPr>
        <w:t xml:space="preserve"> acquire its citizenship</w:t>
      </w:r>
      <w:r w:rsidRPr="00100028">
        <w:rPr>
          <w:rFonts w:asciiTheme="majorBidi" w:hAnsiTheme="majorBidi" w:cstheme="majorBidi"/>
          <w:sz w:val="24"/>
          <w:szCs w:val="24"/>
          <w:lang w:val="en-GB"/>
        </w:rPr>
        <w:t xml:space="preserve">, members of this group </w:t>
      </w:r>
      <w:r w:rsidR="0031083C" w:rsidRPr="00100028">
        <w:rPr>
          <w:rFonts w:asciiTheme="majorBidi" w:hAnsiTheme="majorBidi" w:cstheme="majorBidi"/>
          <w:sz w:val="24"/>
          <w:szCs w:val="24"/>
          <w:lang w:val="en-GB"/>
        </w:rPr>
        <w:t>will cease to be refugee</w:t>
      </w:r>
      <w:r w:rsidR="00FA6ED3" w:rsidRPr="00100028">
        <w:rPr>
          <w:rFonts w:asciiTheme="majorBidi" w:hAnsiTheme="majorBidi" w:cstheme="majorBidi"/>
          <w:sz w:val="24"/>
          <w:szCs w:val="24"/>
          <w:lang w:val="en-GB"/>
        </w:rPr>
        <w:t>s</w:t>
      </w:r>
      <w:r w:rsidRPr="00100028">
        <w:rPr>
          <w:rFonts w:asciiTheme="majorBidi" w:hAnsiTheme="majorBidi" w:cstheme="majorBidi"/>
          <w:sz w:val="24"/>
          <w:szCs w:val="24"/>
          <w:lang w:val="en-GB"/>
        </w:rPr>
        <w:t>.</w:t>
      </w:r>
      <w:r w:rsidR="003C78CB" w:rsidRPr="00100028">
        <w:rPr>
          <w:rStyle w:val="FootnoteReference"/>
          <w:rFonts w:asciiTheme="majorBidi" w:hAnsiTheme="majorBidi" w:cstheme="majorBidi"/>
          <w:sz w:val="24"/>
          <w:szCs w:val="24"/>
          <w:lang w:val="en-GB"/>
        </w:rPr>
        <w:footnoteReference w:id="182"/>
      </w:r>
      <w:r w:rsidRPr="00100028">
        <w:rPr>
          <w:rFonts w:asciiTheme="majorBidi" w:hAnsiTheme="majorBidi" w:cstheme="majorBidi"/>
          <w:sz w:val="24"/>
          <w:szCs w:val="24"/>
          <w:lang w:val="en-GB"/>
        </w:rPr>
        <w:t xml:space="preserve"> However, if </w:t>
      </w:r>
      <w:r w:rsidR="0031083C" w:rsidRPr="00100028">
        <w:rPr>
          <w:rFonts w:asciiTheme="majorBidi" w:hAnsiTheme="majorBidi" w:cstheme="majorBidi"/>
          <w:sz w:val="24"/>
          <w:szCs w:val="24"/>
          <w:lang w:val="en-GB"/>
        </w:rPr>
        <w:t>Israel denies them entry to</w:t>
      </w:r>
      <w:r w:rsidRPr="00100028">
        <w:rPr>
          <w:rFonts w:asciiTheme="majorBidi" w:hAnsiTheme="majorBidi" w:cstheme="majorBidi"/>
          <w:sz w:val="24"/>
          <w:szCs w:val="24"/>
          <w:lang w:val="en-GB"/>
        </w:rPr>
        <w:t xml:space="preserve"> Palestine in the event of on</w:t>
      </w:r>
      <w:r w:rsidR="00B40A46"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going Is</w:t>
      </w:r>
      <w:r w:rsidR="0031083C" w:rsidRPr="00100028">
        <w:rPr>
          <w:rFonts w:asciiTheme="majorBidi" w:hAnsiTheme="majorBidi" w:cstheme="majorBidi"/>
          <w:sz w:val="24"/>
          <w:szCs w:val="24"/>
          <w:lang w:val="en-GB"/>
        </w:rPr>
        <w:t>raeli control of the</w:t>
      </w:r>
      <w:r w:rsidRPr="00100028">
        <w:rPr>
          <w:rFonts w:asciiTheme="majorBidi" w:hAnsiTheme="majorBidi" w:cstheme="majorBidi"/>
          <w:sz w:val="24"/>
          <w:szCs w:val="24"/>
          <w:lang w:val="en-GB"/>
        </w:rPr>
        <w:t xml:space="preserve"> border</w:t>
      </w:r>
      <w:r w:rsidR="0031083C" w:rsidRPr="00100028">
        <w:rPr>
          <w:rFonts w:asciiTheme="majorBidi" w:hAnsiTheme="majorBidi" w:cstheme="majorBidi"/>
          <w:sz w:val="24"/>
          <w:szCs w:val="24"/>
          <w:lang w:val="en-GB"/>
        </w:rPr>
        <w:t>s</w:t>
      </w:r>
      <w:r w:rsidRPr="00100028">
        <w:rPr>
          <w:rFonts w:asciiTheme="majorBidi" w:hAnsiTheme="majorBidi" w:cstheme="majorBidi"/>
          <w:sz w:val="24"/>
          <w:szCs w:val="24"/>
          <w:lang w:val="en-GB"/>
        </w:rPr>
        <w:t>, the members of the group would continue to be refugees while residing abroad. Yet if t</w:t>
      </w:r>
      <w:r w:rsidR="00FA6ED3" w:rsidRPr="00100028">
        <w:rPr>
          <w:rFonts w:asciiTheme="majorBidi" w:hAnsiTheme="majorBidi" w:cstheme="majorBidi"/>
          <w:sz w:val="24"/>
          <w:szCs w:val="24"/>
          <w:lang w:val="en-GB"/>
        </w:rPr>
        <w:t>hey obtain Palestinian citizenship</w:t>
      </w:r>
      <w:r w:rsidRPr="00100028">
        <w:rPr>
          <w:rFonts w:asciiTheme="majorBidi" w:hAnsiTheme="majorBidi" w:cstheme="majorBidi"/>
          <w:sz w:val="24"/>
          <w:szCs w:val="24"/>
          <w:lang w:val="en-GB"/>
        </w:rPr>
        <w:t xml:space="preserve"> even before exercising their right o</w:t>
      </w:r>
      <w:r w:rsidR="0031083C" w:rsidRPr="00100028">
        <w:rPr>
          <w:rFonts w:asciiTheme="majorBidi" w:hAnsiTheme="majorBidi" w:cstheme="majorBidi"/>
          <w:sz w:val="24"/>
          <w:szCs w:val="24"/>
          <w:lang w:val="en-GB"/>
        </w:rPr>
        <w:t>f return to the West Bank or Gaza</w:t>
      </w:r>
      <w:r w:rsidR="00D020E8" w:rsidRPr="00100028">
        <w:rPr>
          <w:rFonts w:asciiTheme="majorBidi" w:hAnsiTheme="majorBidi" w:cstheme="majorBidi"/>
          <w:sz w:val="24"/>
          <w:szCs w:val="24"/>
          <w:lang w:val="en-GB"/>
        </w:rPr>
        <w:t>, these persons</w:t>
      </w:r>
      <w:r w:rsidR="00FA6ED3" w:rsidRPr="00100028">
        <w:rPr>
          <w:rFonts w:asciiTheme="majorBidi" w:hAnsiTheme="majorBidi" w:cstheme="majorBidi"/>
          <w:sz w:val="24"/>
          <w:szCs w:val="24"/>
          <w:lang w:val="en-GB"/>
        </w:rPr>
        <w:t xml:space="preserve"> can</w:t>
      </w:r>
      <w:r w:rsidRPr="00100028">
        <w:rPr>
          <w:rFonts w:asciiTheme="majorBidi" w:hAnsiTheme="majorBidi" w:cstheme="majorBidi"/>
          <w:sz w:val="24"/>
          <w:szCs w:val="24"/>
          <w:lang w:val="en-GB"/>
        </w:rPr>
        <w:t xml:space="preserve"> be</w:t>
      </w:r>
      <w:r w:rsidR="00FA6ED3" w:rsidRPr="00100028">
        <w:rPr>
          <w:rFonts w:asciiTheme="majorBidi" w:hAnsiTheme="majorBidi" w:cstheme="majorBidi"/>
          <w:sz w:val="24"/>
          <w:szCs w:val="24"/>
          <w:lang w:val="en-GB"/>
        </w:rPr>
        <w:t xml:space="preserve"> issued</w:t>
      </w:r>
      <w:r w:rsidR="0031083C" w:rsidRPr="00100028">
        <w:rPr>
          <w:rFonts w:asciiTheme="majorBidi" w:hAnsiTheme="majorBidi" w:cstheme="majorBidi"/>
          <w:sz w:val="24"/>
          <w:szCs w:val="24"/>
          <w:lang w:val="en-GB"/>
        </w:rPr>
        <w:t xml:space="preserve"> Palestinian </w:t>
      </w:r>
      <w:r w:rsidR="00FA6ED3" w:rsidRPr="00100028">
        <w:rPr>
          <w:rFonts w:asciiTheme="majorBidi" w:hAnsiTheme="majorBidi" w:cstheme="majorBidi"/>
          <w:sz w:val="24"/>
          <w:szCs w:val="24"/>
          <w:lang w:val="en-GB"/>
        </w:rPr>
        <w:t>passports</w:t>
      </w:r>
      <w:r w:rsidRPr="00100028">
        <w:rPr>
          <w:rFonts w:asciiTheme="majorBidi" w:hAnsiTheme="majorBidi" w:cstheme="majorBidi"/>
          <w:sz w:val="24"/>
          <w:szCs w:val="24"/>
          <w:lang w:val="en-GB"/>
        </w:rPr>
        <w:t>, be provided with diplomatic pro</w:t>
      </w:r>
      <w:r w:rsidR="00B40A46" w:rsidRPr="00100028">
        <w:rPr>
          <w:rFonts w:asciiTheme="majorBidi" w:hAnsiTheme="majorBidi" w:cstheme="majorBidi"/>
          <w:sz w:val="24"/>
          <w:szCs w:val="24"/>
          <w:lang w:val="en-GB"/>
        </w:rPr>
        <w:t>tection by Palestinian diplomatic</w:t>
      </w:r>
      <w:r w:rsidR="002111DF" w:rsidRPr="00100028">
        <w:rPr>
          <w:rFonts w:asciiTheme="majorBidi" w:hAnsiTheme="majorBidi" w:cstheme="majorBidi"/>
          <w:sz w:val="24"/>
          <w:szCs w:val="24"/>
          <w:lang w:val="en-GB"/>
        </w:rPr>
        <w:t xml:space="preserve"> authorities</w:t>
      </w:r>
      <w:r w:rsidRPr="00100028">
        <w:rPr>
          <w:rFonts w:asciiTheme="majorBidi" w:hAnsiTheme="majorBidi" w:cstheme="majorBidi"/>
          <w:sz w:val="24"/>
          <w:szCs w:val="24"/>
          <w:lang w:val="en-GB"/>
        </w:rPr>
        <w:t xml:space="preserve">, </w:t>
      </w:r>
      <w:r w:rsidR="0031083C" w:rsidRPr="00100028">
        <w:rPr>
          <w:rFonts w:asciiTheme="majorBidi" w:hAnsiTheme="majorBidi" w:cstheme="majorBidi"/>
          <w:sz w:val="24"/>
          <w:szCs w:val="24"/>
          <w:lang w:val="en-GB"/>
        </w:rPr>
        <w:t xml:space="preserve">and </w:t>
      </w:r>
      <w:r w:rsidR="00DC109C" w:rsidRPr="00100028">
        <w:rPr>
          <w:rFonts w:asciiTheme="majorBidi" w:hAnsiTheme="majorBidi" w:cstheme="majorBidi"/>
          <w:sz w:val="24"/>
          <w:szCs w:val="24"/>
          <w:lang w:val="en-GB"/>
        </w:rPr>
        <w:t>participate</w:t>
      </w:r>
      <w:r w:rsidRPr="00100028">
        <w:rPr>
          <w:rFonts w:asciiTheme="majorBidi" w:hAnsiTheme="majorBidi" w:cstheme="majorBidi"/>
          <w:sz w:val="24"/>
          <w:szCs w:val="24"/>
          <w:lang w:val="en-GB"/>
        </w:rPr>
        <w:t xml:space="preserve"> </w:t>
      </w:r>
      <w:r w:rsidR="00DC109C" w:rsidRPr="00100028">
        <w:rPr>
          <w:rFonts w:asciiTheme="majorBidi" w:hAnsiTheme="majorBidi" w:cstheme="majorBidi"/>
          <w:sz w:val="24"/>
          <w:szCs w:val="24"/>
          <w:lang w:val="en-GB"/>
        </w:rPr>
        <w:t xml:space="preserve">in </w:t>
      </w:r>
      <w:r w:rsidRPr="00100028">
        <w:rPr>
          <w:rFonts w:asciiTheme="majorBidi" w:hAnsiTheme="majorBidi" w:cstheme="majorBidi"/>
          <w:sz w:val="24"/>
          <w:szCs w:val="24"/>
          <w:lang w:val="en-GB"/>
        </w:rPr>
        <w:t>elections, etc.</w:t>
      </w:r>
      <w:r w:rsidR="002111DF" w:rsidRPr="00100028">
        <w:rPr>
          <w:rStyle w:val="FootnoteReference"/>
          <w:rFonts w:asciiTheme="majorBidi" w:hAnsiTheme="majorBidi" w:cstheme="majorBidi"/>
          <w:sz w:val="24"/>
          <w:szCs w:val="24"/>
          <w:lang w:val="en-GB"/>
        </w:rPr>
        <w:footnoteReference w:id="183"/>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bidi="ar-SA"/>
        </w:rPr>
      </w:pPr>
      <w:r w:rsidRPr="00100028">
        <w:rPr>
          <w:rFonts w:asciiTheme="majorBidi" w:hAnsiTheme="majorBidi" w:cstheme="majorBidi"/>
          <w:sz w:val="24"/>
          <w:szCs w:val="24"/>
          <w:lang w:val="en-GB"/>
        </w:rPr>
        <w:t xml:space="preserve">The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 xml:space="preserve"> of Palestine </w:t>
      </w:r>
      <w:r w:rsidR="00AE54D8" w:rsidRPr="00100028">
        <w:rPr>
          <w:rFonts w:asciiTheme="majorBidi" w:hAnsiTheme="majorBidi" w:cstheme="majorBidi"/>
          <w:sz w:val="24"/>
          <w:szCs w:val="24"/>
          <w:lang w:val="en-GB"/>
        </w:rPr>
        <w:t xml:space="preserve">(and by extension Israel in case of on-going </w:t>
      </w:r>
      <w:r w:rsidR="00D020E8" w:rsidRPr="00100028">
        <w:rPr>
          <w:rFonts w:asciiTheme="majorBidi" w:hAnsiTheme="majorBidi" w:cstheme="majorBidi"/>
          <w:sz w:val="24"/>
          <w:szCs w:val="24"/>
          <w:lang w:val="en-GB"/>
        </w:rPr>
        <w:t xml:space="preserve">Israeli </w:t>
      </w:r>
      <w:r w:rsidR="00AE54D8" w:rsidRPr="00100028">
        <w:rPr>
          <w:rFonts w:asciiTheme="majorBidi" w:hAnsiTheme="majorBidi" w:cstheme="majorBidi"/>
          <w:sz w:val="24"/>
          <w:szCs w:val="24"/>
          <w:lang w:val="en-GB"/>
        </w:rPr>
        <w:t xml:space="preserve">occupation) </w:t>
      </w:r>
      <w:r w:rsidRPr="00100028">
        <w:rPr>
          <w:rFonts w:asciiTheme="majorBidi" w:hAnsiTheme="majorBidi" w:cstheme="majorBidi"/>
          <w:sz w:val="24"/>
          <w:szCs w:val="24"/>
          <w:lang w:val="en-GB"/>
        </w:rPr>
        <w:t xml:space="preserve">is </w:t>
      </w:r>
      <w:r w:rsidR="0031083C" w:rsidRPr="00100028">
        <w:rPr>
          <w:rFonts w:asciiTheme="majorBidi" w:hAnsiTheme="majorBidi" w:cstheme="majorBidi"/>
          <w:sz w:val="24"/>
          <w:szCs w:val="24"/>
          <w:lang w:val="en-GB"/>
        </w:rPr>
        <w:t>obliged under international legal to allow</w:t>
      </w:r>
      <w:r w:rsidRPr="00100028">
        <w:rPr>
          <w:rFonts w:asciiTheme="majorBidi" w:hAnsiTheme="majorBidi" w:cstheme="majorBidi"/>
          <w:sz w:val="24"/>
          <w:szCs w:val="24"/>
          <w:lang w:val="en-GB"/>
        </w:rPr>
        <w:t xml:space="preserve"> this group </w:t>
      </w:r>
      <w:r w:rsidR="00DB4F00" w:rsidRPr="00100028">
        <w:rPr>
          <w:rFonts w:asciiTheme="majorBidi" w:hAnsiTheme="majorBidi" w:cstheme="majorBidi"/>
          <w:sz w:val="24"/>
          <w:szCs w:val="24"/>
          <w:lang w:val="en-GB"/>
        </w:rPr>
        <w:t xml:space="preserve">of persons </w:t>
      </w:r>
      <w:r w:rsidRPr="00100028">
        <w:rPr>
          <w:rFonts w:asciiTheme="majorBidi" w:hAnsiTheme="majorBidi" w:cstheme="majorBidi"/>
          <w:sz w:val="24"/>
          <w:szCs w:val="24"/>
          <w:lang w:val="en-GB"/>
        </w:rPr>
        <w:t>to return to their native homes</w:t>
      </w:r>
      <w:r w:rsidR="00DB4F00" w:rsidRPr="00100028">
        <w:rPr>
          <w:rFonts w:asciiTheme="majorBidi" w:hAnsiTheme="majorBidi" w:cstheme="majorBidi"/>
          <w:sz w:val="24"/>
          <w:szCs w:val="24"/>
          <w:lang w:val="en-GB"/>
        </w:rPr>
        <w:t xml:space="preserve"> if they choose to do so</w:t>
      </w:r>
      <w:r w:rsidRPr="00100028">
        <w:rPr>
          <w:rFonts w:asciiTheme="majorBidi" w:hAnsiTheme="majorBidi" w:cstheme="majorBidi"/>
          <w:sz w:val="24"/>
          <w:szCs w:val="24"/>
          <w:lang w:val="en-GB"/>
        </w:rPr>
        <w:t>. This obligation stem</w:t>
      </w:r>
      <w:r w:rsidR="009D0A8E" w:rsidRPr="00100028">
        <w:rPr>
          <w:rFonts w:asciiTheme="majorBidi" w:hAnsiTheme="majorBidi" w:cstheme="majorBidi"/>
          <w:sz w:val="24"/>
          <w:szCs w:val="24"/>
          <w:lang w:val="en-GB"/>
        </w:rPr>
        <w:t>s from the right of return in</w:t>
      </w:r>
      <w:r w:rsidRPr="00100028">
        <w:rPr>
          <w:rFonts w:asciiTheme="majorBidi" w:hAnsiTheme="majorBidi" w:cstheme="majorBidi"/>
          <w:sz w:val="24"/>
          <w:szCs w:val="24"/>
          <w:lang w:val="en-GB"/>
        </w:rPr>
        <w:t xml:space="preserve"> international law</w:t>
      </w:r>
      <w:r w:rsidR="00967DC7" w:rsidRPr="00100028">
        <w:rPr>
          <w:rFonts w:asciiTheme="majorBidi" w:hAnsiTheme="majorBidi" w:cstheme="majorBidi"/>
          <w:sz w:val="24"/>
          <w:szCs w:val="24"/>
          <w:lang w:val="en-GB"/>
        </w:rPr>
        <w:t>, which is based</w:t>
      </w:r>
      <w:r w:rsidR="00AE54D8" w:rsidRPr="00100028">
        <w:rPr>
          <w:rFonts w:asciiTheme="majorBidi" w:hAnsiTheme="majorBidi" w:cstheme="majorBidi"/>
          <w:sz w:val="24"/>
          <w:szCs w:val="24"/>
          <w:lang w:val="en-GB"/>
        </w:rPr>
        <w:t xml:space="preserve">, </w:t>
      </w:r>
      <w:r w:rsidR="00AE54D8" w:rsidRPr="00100028">
        <w:rPr>
          <w:rFonts w:asciiTheme="majorBidi" w:hAnsiTheme="majorBidi" w:cstheme="majorBidi"/>
          <w:i/>
          <w:iCs/>
          <w:sz w:val="24"/>
          <w:szCs w:val="24"/>
          <w:lang w:val="en-GB"/>
        </w:rPr>
        <w:t>inter alia</w:t>
      </w:r>
      <w:r w:rsidR="00AE54D8" w:rsidRPr="00100028">
        <w:rPr>
          <w:rFonts w:asciiTheme="majorBidi" w:hAnsiTheme="majorBidi" w:cstheme="majorBidi"/>
          <w:sz w:val="24"/>
          <w:szCs w:val="24"/>
          <w:lang w:val="en-GB"/>
        </w:rPr>
        <w:t>,</w:t>
      </w:r>
      <w:r w:rsidR="00967DC7" w:rsidRPr="00100028">
        <w:rPr>
          <w:rFonts w:asciiTheme="majorBidi" w:hAnsiTheme="majorBidi" w:cstheme="majorBidi"/>
          <w:sz w:val="24"/>
          <w:szCs w:val="24"/>
          <w:lang w:val="en-GB"/>
        </w:rPr>
        <w:t xml:space="preserve"> on international human rights law, international humanitarian law, </w:t>
      </w:r>
      <w:r w:rsidR="00D020E8" w:rsidRPr="00100028">
        <w:rPr>
          <w:rFonts w:asciiTheme="majorBidi" w:hAnsiTheme="majorBidi" w:cstheme="majorBidi"/>
          <w:sz w:val="24"/>
          <w:szCs w:val="24"/>
          <w:lang w:val="en-GB"/>
        </w:rPr>
        <w:t xml:space="preserve">UN resolutions, </w:t>
      </w:r>
      <w:r w:rsidR="009D0A8E" w:rsidRPr="00100028">
        <w:rPr>
          <w:rFonts w:asciiTheme="majorBidi" w:hAnsiTheme="majorBidi" w:cstheme="majorBidi"/>
          <w:sz w:val="24"/>
          <w:szCs w:val="24"/>
          <w:lang w:val="en-GB"/>
        </w:rPr>
        <w:t xml:space="preserve">natural law, international refugee law, </w:t>
      </w:r>
      <w:r w:rsidR="00967DC7" w:rsidRPr="00100028">
        <w:rPr>
          <w:rFonts w:asciiTheme="majorBidi" w:hAnsiTheme="majorBidi" w:cstheme="majorBidi"/>
          <w:sz w:val="24"/>
          <w:szCs w:val="24"/>
          <w:lang w:val="en-GB"/>
        </w:rPr>
        <w:t>and customary international law</w:t>
      </w:r>
      <w:r w:rsidR="009D0A8E" w:rsidRPr="00100028">
        <w:rPr>
          <w:rFonts w:asciiTheme="majorBidi" w:hAnsiTheme="majorBidi" w:cstheme="majorBidi"/>
          <w:sz w:val="24"/>
          <w:szCs w:val="24"/>
          <w:lang w:val="en-GB"/>
        </w:rPr>
        <w:t xml:space="preserve"> (that cannot be elaborated here)</w:t>
      </w:r>
      <w:r w:rsidR="00967DC7" w:rsidRPr="00100028">
        <w:rPr>
          <w:rFonts w:asciiTheme="majorBidi" w:hAnsiTheme="majorBidi" w:cstheme="majorBidi"/>
          <w:sz w:val="24"/>
          <w:szCs w:val="24"/>
          <w:lang w:val="en-GB"/>
        </w:rPr>
        <w:t>.</w:t>
      </w:r>
      <w:r w:rsidR="00967DC7" w:rsidRPr="00100028">
        <w:rPr>
          <w:rStyle w:val="FootnoteReference"/>
          <w:rFonts w:asciiTheme="majorBidi" w:hAnsiTheme="majorBidi" w:cstheme="majorBidi"/>
          <w:sz w:val="24"/>
          <w:szCs w:val="24"/>
          <w:lang w:val="en-GB"/>
        </w:rPr>
        <w:footnoteReference w:id="184"/>
      </w:r>
      <w:r w:rsidR="00967DC7" w:rsidRPr="00100028">
        <w:rPr>
          <w:rFonts w:asciiTheme="majorBidi" w:hAnsiTheme="majorBidi" w:cstheme="majorBidi"/>
          <w:sz w:val="24"/>
          <w:szCs w:val="24"/>
          <w:lang w:val="en-GB"/>
        </w:rPr>
        <w:t xml:space="preserve"> </w:t>
      </w:r>
      <w:r w:rsidR="00DB4F00" w:rsidRPr="00100028">
        <w:rPr>
          <w:rFonts w:asciiTheme="majorBidi" w:hAnsiTheme="majorBidi" w:cstheme="majorBidi"/>
          <w:sz w:val="24"/>
          <w:szCs w:val="24"/>
          <w:lang w:val="en-GB"/>
        </w:rPr>
        <w:t>The State of Palestine should also attribute it</w:t>
      </w:r>
      <w:r w:rsidR="00F378B1" w:rsidRPr="00100028">
        <w:rPr>
          <w:rFonts w:asciiTheme="majorBidi" w:hAnsiTheme="majorBidi" w:cstheme="majorBidi"/>
          <w:sz w:val="24"/>
          <w:szCs w:val="24"/>
          <w:lang w:val="en-GB"/>
        </w:rPr>
        <w:t xml:space="preserve">s </w:t>
      </w:r>
      <w:r w:rsidR="00DB4F00" w:rsidRPr="00100028">
        <w:rPr>
          <w:rFonts w:asciiTheme="majorBidi" w:hAnsiTheme="majorBidi" w:cstheme="majorBidi"/>
          <w:sz w:val="24"/>
          <w:szCs w:val="24"/>
          <w:lang w:val="en-GB"/>
        </w:rPr>
        <w:t xml:space="preserve">citizenship to those returnees who elect </w:t>
      </w:r>
      <w:r w:rsidR="00197E27" w:rsidRPr="00100028">
        <w:rPr>
          <w:rFonts w:asciiTheme="majorBidi" w:hAnsiTheme="majorBidi" w:cstheme="majorBidi"/>
          <w:sz w:val="24"/>
          <w:szCs w:val="24"/>
          <w:lang w:val="en-GB"/>
        </w:rPr>
        <w:t>its</w:t>
      </w:r>
      <w:r w:rsidR="00DB4F00" w:rsidRPr="00100028">
        <w:rPr>
          <w:rFonts w:asciiTheme="majorBidi" w:hAnsiTheme="majorBidi" w:cstheme="majorBidi"/>
          <w:sz w:val="24"/>
          <w:szCs w:val="24"/>
          <w:lang w:val="en-GB"/>
        </w:rPr>
        <w:t xml:space="preserve"> citizenship</w:t>
      </w:r>
      <w:r w:rsidR="00967DC7" w:rsidRPr="00100028">
        <w:rPr>
          <w:rFonts w:asciiTheme="majorBidi" w:hAnsiTheme="majorBidi" w:cstheme="majorBidi"/>
          <w:sz w:val="24"/>
          <w:szCs w:val="24"/>
          <w:lang w:val="en-GB"/>
        </w:rPr>
        <w:t xml:space="preserve"> under</w:t>
      </w:r>
      <w:r w:rsidRPr="00100028">
        <w:rPr>
          <w:rFonts w:asciiTheme="majorBidi" w:hAnsiTheme="majorBidi" w:cstheme="majorBidi"/>
          <w:sz w:val="24"/>
          <w:szCs w:val="24"/>
          <w:lang w:val="en-GB"/>
        </w:rPr>
        <w:t xml:space="preserve"> </w:t>
      </w:r>
      <w:r w:rsidR="00967DC7" w:rsidRPr="00100028">
        <w:rPr>
          <w:rFonts w:asciiTheme="majorBidi" w:hAnsiTheme="majorBidi" w:cstheme="majorBidi"/>
          <w:sz w:val="24"/>
          <w:szCs w:val="24"/>
          <w:lang w:val="en-GB"/>
        </w:rPr>
        <w:t xml:space="preserve">the </w:t>
      </w:r>
      <w:r w:rsidRPr="00100028">
        <w:rPr>
          <w:rFonts w:asciiTheme="majorBidi" w:hAnsiTheme="majorBidi" w:cstheme="majorBidi"/>
          <w:sz w:val="24"/>
          <w:szCs w:val="24"/>
          <w:lang w:val="en-GB"/>
        </w:rPr>
        <w:t xml:space="preserve">law of </w:t>
      </w:r>
      <w:r w:rsidR="00FE2B16" w:rsidRPr="00100028">
        <w:rPr>
          <w:rFonts w:asciiTheme="majorBidi" w:hAnsiTheme="majorBidi" w:cstheme="majorBidi"/>
          <w:sz w:val="24"/>
          <w:szCs w:val="24"/>
          <w:lang w:val="en-GB"/>
        </w:rPr>
        <w:t>State</w:t>
      </w:r>
      <w:r w:rsidR="00967DC7" w:rsidRPr="00100028">
        <w:rPr>
          <w:rFonts w:asciiTheme="majorBidi" w:hAnsiTheme="majorBidi" w:cstheme="majorBidi"/>
          <w:sz w:val="24"/>
          <w:szCs w:val="24"/>
          <w:lang w:val="en-GB"/>
        </w:rPr>
        <w:t xml:space="preserve"> succession</w:t>
      </w:r>
      <w:r w:rsidR="00197E27" w:rsidRPr="00100028">
        <w:rPr>
          <w:rFonts w:asciiTheme="majorBidi" w:hAnsiTheme="majorBidi" w:cstheme="majorBidi"/>
          <w:sz w:val="24"/>
          <w:szCs w:val="24"/>
          <w:lang w:val="en-GB"/>
        </w:rPr>
        <w:t>, particularly</w:t>
      </w:r>
      <w:r w:rsidR="00F378B1" w:rsidRPr="00100028">
        <w:rPr>
          <w:rFonts w:asciiTheme="majorBidi" w:hAnsiTheme="majorBidi" w:cstheme="majorBidi"/>
          <w:sz w:val="24"/>
          <w:szCs w:val="24"/>
          <w:lang w:val="en-GB"/>
        </w:rPr>
        <w:t xml:space="preserve"> those who would remain stateless</w:t>
      </w:r>
      <w:r w:rsidR="00197E27" w:rsidRPr="00100028">
        <w:rPr>
          <w:rFonts w:asciiTheme="majorBidi" w:hAnsiTheme="majorBidi" w:cstheme="majorBidi"/>
          <w:sz w:val="24"/>
          <w:szCs w:val="24"/>
          <w:lang w:val="en-GB"/>
        </w:rPr>
        <w:t xml:space="preserve"> in case of non</w:t>
      </w:r>
      <w:r w:rsidR="00F378B1" w:rsidRPr="00100028">
        <w:rPr>
          <w:rFonts w:asciiTheme="majorBidi" w:hAnsiTheme="majorBidi" w:cstheme="majorBidi"/>
          <w:sz w:val="24"/>
          <w:szCs w:val="24"/>
          <w:lang w:val="en-GB"/>
        </w:rPr>
        <w:t>-acquisition of Palestinian citizenship</w:t>
      </w:r>
      <w:r w:rsidRPr="00100028">
        <w:rPr>
          <w:rFonts w:asciiTheme="majorBidi" w:hAnsiTheme="majorBidi" w:cstheme="majorBidi"/>
          <w:sz w:val="24"/>
          <w:szCs w:val="24"/>
          <w:lang w:val="en-GB"/>
        </w:rPr>
        <w:t>.</w:t>
      </w:r>
      <w:r w:rsidR="0054428A" w:rsidRPr="00100028">
        <w:rPr>
          <w:rStyle w:val="FootnoteReference"/>
          <w:rFonts w:asciiTheme="majorBidi" w:hAnsiTheme="majorBidi" w:cstheme="majorBidi"/>
          <w:sz w:val="24"/>
          <w:szCs w:val="24"/>
          <w:lang w:val="en-GB"/>
        </w:rPr>
        <w:footnoteReference w:id="185"/>
      </w:r>
      <w:r w:rsidR="00197E27" w:rsidRPr="00100028">
        <w:rPr>
          <w:rFonts w:asciiTheme="majorBidi" w:hAnsiTheme="majorBidi" w:cstheme="majorBidi"/>
          <w:sz w:val="24"/>
          <w:szCs w:val="24"/>
          <w:lang w:val="en-GB"/>
        </w:rPr>
        <w:t xml:space="preserve"> Holding</w:t>
      </w:r>
      <w:r w:rsidRPr="00100028">
        <w:rPr>
          <w:rFonts w:asciiTheme="majorBidi" w:hAnsiTheme="majorBidi" w:cstheme="majorBidi"/>
          <w:sz w:val="24"/>
          <w:szCs w:val="24"/>
          <w:lang w:val="en-GB"/>
        </w:rPr>
        <w:t xml:space="preserve"> </w:t>
      </w:r>
      <w:r w:rsidR="0031083C" w:rsidRPr="00100028">
        <w:rPr>
          <w:rFonts w:asciiTheme="majorBidi" w:hAnsiTheme="majorBidi" w:cstheme="majorBidi"/>
          <w:sz w:val="24"/>
          <w:szCs w:val="24"/>
          <w:lang w:val="en-GB"/>
        </w:rPr>
        <w:t xml:space="preserve">other </w:t>
      </w:r>
      <w:r w:rsidRPr="00100028">
        <w:rPr>
          <w:rFonts w:asciiTheme="majorBidi" w:hAnsiTheme="majorBidi" w:cstheme="majorBidi"/>
          <w:sz w:val="24"/>
          <w:szCs w:val="24"/>
          <w:lang w:val="en-GB"/>
        </w:rPr>
        <w:lastRenderedPageBreak/>
        <w:t>citizenship</w:t>
      </w:r>
      <w:r w:rsidR="0031083C" w:rsidRPr="00100028">
        <w:rPr>
          <w:rFonts w:asciiTheme="majorBidi" w:hAnsiTheme="majorBidi" w:cstheme="majorBidi"/>
          <w:sz w:val="24"/>
          <w:szCs w:val="24"/>
          <w:lang w:val="en-GB"/>
        </w:rPr>
        <w:t>s</w:t>
      </w:r>
      <w:r w:rsidRPr="00100028">
        <w:rPr>
          <w:rFonts w:asciiTheme="majorBidi" w:hAnsiTheme="majorBidi" w:cstheme="majorBidi"/>
          <w:sz w:val="24"/>
          <w:szCs w:val="24"/>
          <w:lang w:val="en-GB"/>
        </w:rPr>
        <w:t xml:space="preserve"> should not derogate from the</w:t>
      </w:r>
      <w:r w:rsidR="00197E27" w:rsidRPr="00100028">
        <w:rPr>
          <w:rFonts w:asciiTheme="majorBidi" w:hAnsiTheme="majorBidi" w:cstheme="majorBidi"/>
          <w:sz w:val="24"/>
          <w:szCs w:val="24"/>
          <w:lang w:val="en-GB"/>
        </w:rPr>
        <w:t xml:space="preserve"> </w:t>
      </w:r>
      <w:r w:rsidRPr="00100028">
        <w:rPr>
          <w:rFonts w:asciiTheme="majorBidi" w:hAnsiTheme="majorBidi" w:cstheme="majorBidi"/>
          <w:sz w:val="24"/>
          <w:szCs w:val="24"/>
          <w:lang w:val="en-GB"/>
        </w:rPr>
        <w:t>right t</w:t>
      </w:r>
      <w:r w:rsidR="0031083C" w:rsidRPr="00100028">
        <w:rPr>
          <w:rFonts w:asciiTheme="majorBidi" w:hAnsiTheme="majorBidi" w:cstheme="majorBidi"/>
          <w:sz w:val="24"/>
          <w:szCs w:val="24"/>
          <w:lang w:val="en-GB"/>
        </w:rPr>
        <w:t>o return to the West Bank or Gaza</w:t>
      </w:r>
      <w:r w:rsidRPr="00100028">
        <w:rPr>
          <w:rFonts w:asciiTheme="majorBidi" w:hAnsiTheme="majorBidi" w:cstheme="majorBidi"/>
          <w:sz w:val="24"/>
          <w:szCs w:val="24"/>
          <w:lang w:val="en-GB"/>
        </w:rPr>
        <w:t xml:space="preserve"> and to </w:t>
      </w:r>
      <w:r w:rsidR="00197E27" w:rsidRPr="00100028">
        <w:rPr>
          <w:rFonts w:asciiTheme="majorBidi" w:hAnsiTheme="majorBidi" w:cstheme="majorBidi"/>
          <w:sz w:val="24"/>
          <w:szCs w:val="24"/>
          <w:lang w:val="en-GB"/>
        </w:rPr>
        <w:t>for these persons</w:t>
      </w:r>
      <w:r w:rsidR="00197E27" w:rsidRPr="00100028">
        <w:rPr>
          <w:rFonts w:asciiTheme="majorBidi" w:hAnsiTheme="majorBidi" w:cstheme="majorBidi"/>
          <w:sz w:val="24"/>
          <w:szCs w:val="24"/>
        </w:rPr>
        <w:t>’</w:t>
      </w:r>
      <w:r w:rsidR="00197E27" w:rsidRPr="00100028">
        <w:rPr>
          <w:rFonts w:asciiTheme="majorBidi" w:hAnsiTheme="majorBidi" w:cstheme="majorBidi"/>
          <w:sz w:val="24"/>
          <w:szCs w:val="24"/>
          <w:lang w:val="en-GB"/>
        </w:rPr>
        <w:t xml:space="preserve"> rights to </w:t>
      </w:r>
      <w:r w:rsidRPr="00100028">
        <w:rPr>
          <w:rFonts w:asciiTheme="majorBidi" w:hAnsiTheme="majorBidi" w:cstheme="majorBidi"/>
          <w:sz w:val="24"/>
          <w:szCs w:val="24"/>
          <w:lang w:val="en-GB"/>
        </w:rPr>
        <w:t xml:space="preserve">recover </w:t>
      </w:r>
      <w:r w:rsidR="00197E27" w:rsidRPr="00100028">
        <w:rPr>
          <w:rFonts w:asciiTheme="majorBidi" w:hAnsiTheme="majorBidi" w:cstheme="majorBidi"/>
          <w:sz w:val="24"/>
          <w:szCs w:val="24"/>
          <w:lang w:val="en-GB"/>
        </w:rPr>
        <w:t>their Palestinian citizenship</w:t>
      </w:r>
      <w:r w:rsidRPr="00100028">
        <w:rPr>
          <w:rFonts w:asciiTheme="majorBidi" w:hAnsiTheme="majorBidi" w:cstheme="majorBidi"/>
          <w:sz w:val="24"/>
          <w:szCs w:val="24"/>
          <w:lang w:val="en-GB"/>
        </w:rPr>
        <w:t>.</w:t>
      </w:r>
      <w:r w:rsidR="00B40A46" w:rsidRPr="00100028">
        <w:rPr>
          <w:rStyle w:val="FootnoteReference"/>
          <w:rFonts w:asciiTheme="majorBidi" w:hAnsiTheme="majorBidi" w:cstheme="majorBidi"/>
          <w:sz w:val="24"/>
          <w:szCs w:val="24"/>
          <w:lang w:val="en-GB"/>
        </w:rPr>
        <w:footnoteReference w:id="186"/>
      </w:r>
    </w:p>
    <w:p w:rsidR="00D60ABE" w:rsidRPr="00100028" w:rsidRDefault="00D60ABE" w:rsidP="00100028">
      <w:pPr>
        <w:bidi w:val="0"/>
        <w:jc w:val="both"/>
        <w:rPr>
          <w:rFonts w:asciiTheme="majorBidi" w:hAnsiTheme="majorBidi" w:cstheme="majorBidi"/>
          <w:sz w:val="24"/>
          <w:szCs w:val="24"/>
          <w:lang w:val="en-GB"/>
        </w:rPr>
      </w:pPr>
    </w:p>
    <w:p w:rsidR="00D60ABE" w:rsidRPr="00100028" w:rsidRDefault="00D60ABE"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Two additional West Bank and Gaza natives have the right to citizenship in the State of Palestine. One is Jews who were residing in the West Bank or Gaza as Palestinian citizens before May 1948. And the second includes those natives who left the West Bank or Gaza before the enactment of the Palestinian Citizenship Order in 1925.</w:t>
      </w:r>
    </w:p>
    <w:p w:rsidR="00D60ABE" w:rsidRPr="00100028" w:rsidRDefault="00D60ABE" w:rsidP="00100028">
      <w:pPr>
        <w:bidi w:val="0"/>
        <w:jc w:val="both"/>
        <w:rPr>
          <w:rFonts w:asciiTheme="majorBidi" w:hAnsiTheme="majorBidi" w:cstheme="majorBidi"/>
          <w:sz w:val="24"/>
          <w:szCs w:val="24"/>
          <w:lang w:val="en-GB"/>
        </w:rPr>
      </w:pPr>
    </w:p>
    <w:p w:rsidR="00D60ABE" w:rsidRPr="00100028" w:rsidRDefault="00D60ABE" w:rsidP="00100028">
      <w:pPr>
        <w:bidi w:val="0"/>
        <w:jc w:val="both"/>
        <w:rPr>
          <w:rFonts w:asciiTheme="majorBidi" w:hAnsiTheme="majorBidi" w:cstheme="majorBidi"/>
          <w:sz w:val="24"/>
          <w:szCs w:val="24"/>
        </w:rPr>
      </w:pPr>
      <w:r w:rsidRPr="00100028">
        <w:rPr>
          <w:rFonts w:asciiTheme="majorBidi" w:hAnsiTheme="majorBidi" w:cstheme="majorBidi"/>
          <w:sz w:val="24"/>
          <w:szCs w:val="24"/>
        </w:rPr>
        <w:t>In 1925, there were 7,143 Jews residing in Palestine as Ottoman subjects.</w:t>
      </w:r>
      <w:r w:rsidRPr="00100028">
        <w:rPr>
          <w:rStyle w:val="FootnoteReference"/>
          <w:rFonts w:asciiTheme="majorBidi" w:hAnsiTheme="majorBidi" w:cstheme="majorBidi"/>
          <w:snapToGrid w:val="0"/>
          <w:color w:val="000000"/>
          <w:sz w:val="24"/>
          <w:szCs w:val="24"/>
          <w:lang w:val="en-GB"/>
        </w:rPr>
        <w:footnoteReference w:id="187"/>
      </w:r>
      <w:r w:rsidRPr="00100028">
        <w:rPr>
          <w:rFonts w:asciiTheme="majorBidi" w:hAnsiTheme="majorBidi" w:cstheme="majorBidi"/>
          <w:sz w:val="24"/>
          <w:szCs w:val="24"/>
        </w:rPr>
        <w:t xml:space="preserve"> They </w:t>
      </w:r>
      <w:r w:rsidR="009D0A8E" w:rsidRPr="00100028">
        <w:rPr>
          <w:rFonts w:asciiTheme="majorBidi" w:hAnsiTheme="majorBidi" w:cstheme="majorBidi"/>
          <w:sz w:val="24"/>
          <w:szCs w:val="24"/>
        </w:rPr>
        <w:t xml:space="preserve">had </w:t>
      </w:r>
      <w:r w:rsidRPr="00100028">
        <w:rPr>
          <w:rFonts w:asciiTheme="majorBidi" w:hAnsiTheme="majorBidi" w:cstheme="majorBidi"/>
          <w:sz w:val="24"/>
          <w:szCs w:val="24"/>
        </w:rPr>
        <w:t xml:space="preserve">then acquired Palestinian citizenship </w:t>
      </w:r>
      <w:r w:rsidRPr="00100028">
        <w:rPr>
          <w:rFonts w:asciiTheme="majorBidi" w:hAnsiTheme="majorBidi" w:cstheme="majorBidi"/>
          <w:i/>
          <w:iCs/>
          <w:sz w:val="24"/>
          <w:szCs w:val="24"/>
        </w:rPr>
        <w:t>ipso facto</w:t>
      </w:r>
      <w:r w:rsidRPr="00100028">
        <w:rPr>
          <w:rFonts w:asciiTheme="majorBidi" w:hAnsiTheme="majorBidi" w:cstheme="majorBidi"/>
          <w:sz w:val="24"/>
          <w:szCs w:val="24"/>
        </w:rPr>
        <w:t xml:space="preserve"> based on the Palestinian Citizenship Order enacted that year. After the establishment of Israel, this group (including those originally residing in Israel or inhabitants of the West Bank or Gaza who moved to Israel after the 1948 war) acquired Israeli citizenship. There are no existing data on this group because Israel does not provide such statistics. Yet one may reach a rough total by comparing available data that existed at the end of the Mandate with that relating to the current population of the West Bank and Gaza. In 1947, the number of Jews who expected to be habitual residents of the Arab State that was proposed by the UN Partition Plan was some 10,000, or about 1.4% of the total citizens of the Arab State.</w:t>
      </w:r>
      <w:r w:rsidRPr="00100028">
        <w:rPr>
          <w:rStyle w:val="FootnoteReference"/>
          <w:rFonts w:asciiTheme="majorBidi" w:hAnsiTheme="majorBidi" w:cstheme="majorBidi"/>
          <w:sz w:val="24"/>
          <w:szCs w:val="24"/>
        </w:rPr>
        <w:footnoteReference w:id="188"/>
      </w:r>
      <w:r w:rsidRPr="00100028">
        <w:rPr>
          <w:rFonts w:asciiTheme="majorBidi" w:hAnsiTheme="majorBidi" w:cstheme="majorBidi"/>
          <w:sz w:val="24"/>
          <w:szCs w:val="24"/>
        </w:rPr>
        <w:t xml:space="preserve"> This figure included native and naturalized Jewish Palestinians, foreigners as well as Jewish refugees who mainly emigrated from Europe to Palestine during the Second World War. As the West Bank and Gaza constitute about half of the area allocated to the Arab State, half of the above-mentioned percentage of Jews, or 0.07% of the total population of the West Bank and Gaza today, would </w:t>
      </w:r>
      <w:r w:rsidR="009D0A8E" w:rsidRPr="00100028">
        <w:rPr>
          <w:rFonts w:asciiTheme="majorBidi" w:hAnsiTheme="majorBidi" w:cstheme="majorBidi"/>
          <w:sz w:val="24"/>
          <w:szCs w:val="24"/>
        </w:rPr>
        <w:t xml:space="preserve">have had the right to </w:t>
      </w:r>
      <w:r w:rsidRPr="00100028">
        <w:rPr>
          <w:rFonts w:asciiTheme="majorBidi" w:hAnsiTheme="majorBidi" w:cstheme="majorBidi"/>
          <w:sz w:val="24"/>
          <w:szCs w:val="24"/>
        </w:rPr>
        <w:t>remain there. As almost half of the Jews residing in Palestine at the end of the Mandate were foreigners,</w:t>
      </w:r>
      <w:r w:rsidRPr="00100028">
        <w:rPr>
          <w:rStyle w:val="FootnoteReference"/>
          <w:rFonts w:asciiTheme="majorBidi" w:hAnsiTheme="majorBidi" w:cstheme="majorBidi"/>
          <w:sz w:val="24"/>
          <w:szCs w:val="24"/>
        </w:rPr>
        <w:footnoteReference w:id="189"/>
      </w:r>
      <w:r w:rsidRPr="00100028">
        <w:rPr>
          <w:rFonts w:asciiTheme="majorBidi" w:hAnsiTheme="majorBidi" w:cstheme="majorBidi"/>
          <w:sz w:val="24"/>
          <w:szCs w:val="24"/>
        </w:rPr>
        <w:t xml:space="preserve"> the total number of Palestinian Jews residing in the West Bank and Gaza would be about 0.035%, or 2,500 persons. Comparing the figures proportionally with the current population of the West Bank and Gaza, which totals about 4.62 million;</w:t>
      </w:r>
      <w:r w:rsidRPr="00100028">
        <w:rPr>
          <w:rStyle w:val="FootnoteReference"/>
          <w:rFonts w:asciiTheme="majorBidi" w:hAnsiTheme="majorBidi" w:cstheme="majorBidi"/>
          <w:sz w:val="24"/>
          <w:szCs w:val="24"/>
        </w:rPr>
        <w:footnoteReference w:id="190"/>
      </w:r>
      <w:r w:rsidRPr="00100028">
        <w:rPr>
          <w:rFonts w:asciiTheme="majorBidi" w:hAnsiTheme="majorBidi" w:cstheme="majorBidi"/>
          <w:sz w:val="24"/>
          <w:szCs w:val="24"/>
        </w:rPr>
        <w:t xml:space="preserve"> and assuming that the number of Jews has increased at the same rate, the total number of Jews presumed to be Palestinian citizens would not now exceed 15,000 at best. One third of these would probably be native Jewish Palestinians and two thirds naturalized Jews. In other words, the total number of native Jewish Palestinians and their desce</w:t>
      </w:r>
      <w:r w:rsidR="009D0A8E" w:rsidRPr="00100028">
        <w:rPr>
          <w:rFonts w:asciiTheme="majorBidi" w:hAnsiTheme="majorBidi" w:cstheme="majorBidi"/>
          <w:sz w:val="24"/>
          <w:szCs w:val="24"/>
        </w:rPr>
        <w:t>ndants</w:t>
      </w:r>
      <w:r w:rsidRPr="00100028">
        <w:rPr>
          <w:rFonts w:asciiTheme="majorBidi" w:hAnsiTheme="majorBidi" w:cstheme="majorBidi"/>
          <w:sz w:val="24"/>
          <w:szCs w:val="24"/>
        </w:rPr>
        <w:t xml:space="preserve"> who would be eligible to acquire Palestinian citizenship in the S</w:t>
      </w:r>
      <w:r w:rsidR="009D0A8E" w:rsidRPr="00100028">
        <w:rPr>
          <w:rFonts w:asciiTheme="majorBidi" w:hAnsiTheme="majorBidi" w:cstheme="majorBidi"/>
          <w:sz w:val="24"/>
          <w:szCs w:val="24"/>
        </w:rPr>
        <w:t>tate of Palestine would be approximately</w:t>
      </w:r>
      <w:r w:rsidRPr="00100028">
        <w:rPr>
          <w:rFonts w:asciiTheme="majorBidi" w:hAnsiTheme="majorBidi" w:cstheme="majorBidi"/>
          <w:sz w:val="24"/>
          <w:szCs w:val="24"/>
        </w:rPr>
        <w:t xml:space="preserve"> 5,000.</w:t>
      </w:r>
      <w:r w:rsidRPr="00100028">
        <w:rPr>
          <w:rStyle w:val="FootnoteReference"/>
          <w:rFonts w:asciiTheme="majorBidi" w:hAnsiTheme="majorBidi" w:cstheme="majorBidi"/>
          <w:sz w:val="24"/>
          <w:szCs w:val="24"/>
        </w:rPr>
        <w:footnoteReference w:id="191"/>
      </w:r>
    </w:p>
    <w:p w:rsidR="00D60ABE" w:rsidRPr="00100028" w:rsidRDefault="00D60ABE" w:rsidP="00100028">
      <w:pPr>
        <w:bidi w:val="0"/>
        <w:jc w:val="both"/>
        <w:rPr>
          <w:rFonts w:asciiTheme="majorBidi" w:hAnsiTheme="majorBidi" w:cstheme="majorBidi"/>
          <w:sz w:val="24"/>
          <w:szCs w:val="24"/>
        </w:rPr>
      </w:pPr>
    </w:p>
    <w:p w:rsidR="00D60ABE" w:rsidRPr="00100028" w:rsidRDefault="00D60ABE" w:rsidP="00100028">
      <w:pPr>
        <w:bidi w:val="0"/>
        <w:jc w:val="both"/>
        <w:rPr>
          <w:rFonts w:asciiTheme="majorBidi" w:hAnsiTheme="majorBidi" w:cstheme="majorBidi"/>
          <w:sz w:val="24"/>
          <w:szCs w:val="24"/>
        </w:rPr>
      </w:pPr>
      <w:r w:rsidRPr="00100028">
        <w:rPr>
          <w:rFonts w:asciiTheme="majorBidi" w:hAnsiTheme="majorBidi" w:cstheme="majorBidi"/>
          <w:sz w:val="24"/>
          <w:szCs w:val="24"/>
        </w:rPr>
        <w:t>Jewish Palestinians who were resident in the area that became known as the West Bank, mainly in the old cities of Jerusalem and Hebron, as well as the Gaza Strip, should be given the right to opt for the citizenship of the State of Palestine, as in the case of any refugee. These persons could b</w:t>
      </w:r>
      <w:r w:rsidR="00385B4D" w:rsidRPr="00100028">
        <w:rPr>
          <w:rFonts w:asciiTheme="majorBidi" w:hAnsiTheme="majorBidi" w:cstheme="majorBidi"/>
          <w:sz w:val="24"/>
          <w:szCs w:val="24"/>
        </w:rPr>
        <w:t xml:space="preserve">e considered, in one sense, as </w:t>
      </w:r>
      <w:r w:rsidR="00385B4D" w:rsidRPr="00100028">
        <w:rPr>
          <w:rFonts w:asciiTheme="majorBidi" w:hAnsiTheme="majorBidi" w:cstheme="majorBidi"/>
          <w:color w:val="000000" w:themeColor="text1"/>
          <w:sz w:val="24"/>
          <w:szCs w:val="24"/>
        </w:rPr>
        <w:t>“</w:t>
      </w:r>
      <w:r w:rsidRPr="00100028">
        <w:rPr>
          <w:rFonts w:asciiTheme="majorBidi" w:hAnsiTheme="majorBidi" w:cstheme="majorBidi"/>
          <w:sz w:val="24"/>
          <w:szCs w:val="24"/>
        </w:rPr>
        <w:t>Palest</w:t>
      </w:r>
      <w:r w:rsidR="00385B4D" w:rsidRPr="00100028">
        <w:rPr>
          <w:rFonts w:asciiTheme="majorBidi" w:hAnsiTheme="majorBidi" w:cstheme="majorBidi"/>
          <w:sz w:val="24"/>
          <w:szCs w:val="24"/>
        </w:rPr>
        <w:t>inian-Jewish refugees in Israel</w:t>
      </w:r>
      <w:r w:rsidR="00385B4D" w:rsidRPr="00100028">
        <w:rPr>
          <w:rFonts w:asciiTheme="majorBidi" w:hAnsiTheme="majorBidi" w:cstheme="majorBidi"/>
          <w:color w:val="000000" w:themeColor="text1"/>
          <w:sz w:val="24"/>
          <w:szCs w:val="24"/>
        </w:rPr>
        <w:t>”</w:t>
      </w:r>
      <w:r w:rsidRPr="00100028">
        <w:rPr>
          <w:rFonts w:asciiTheme="majorBidi" w:hAnsiTheme="majorBidi" w:cstheme="majorBidi"/>
          <w:sz w:val="24"/>
          <w:szCs w:val="24"/>
        </w:rPr>
        <w:t xml:space="preserve"> who can return to their original places of habitual residence in Palestine. They would in that case become dual Israeli-Palestinian citizens. Yet the granting of Palestinian citizenship to members of this group would be somewhat symbolic since, effectively, only a small number of them would be interested in acquiring such citizenship. There are two reasons for this assumption. One is that this group has been fully integrated into the Jewish community of Israel, so that one might be unable to distinguish them from other Israelis for the purpose of developing criteria for attributing citizenship. The second reason relates to evidentiary difficulties, since most of this group’s members are of the second, third or even fourth generation for which proof of origi</w:t>
      </w:r>
      <w:r w:rsidR="00385B4D" w:rsidRPr="00100028">
        <w:rPr>
          <w:rFonts w:asciiTheme="majorBidi" w:hAnsiTheme="majorBidi" w:cstheme="majorBidi"/>
          <w:sz w:val="24"/>
          <w:szCs w:val="24"/>
        </w:rPr>
        <w:t>nal pre-Israel citizenship might</w:t>
      </w:r>
      <w:r w:rsidRPr="00100028">
        <w:rPr>
          <w:rFonts w:asciiTheme="majorBidi" w:hAnsiTheme="majorBidi" w:cstheme="majorBidi"/>
          <w:sz w:val="24"/>
          <w:szCs w:val="24"/>
        </w:rPr>
        <w:t xml:space="preserve"> be difficult to find.</w:t>
      </w:r>
      <w:r w:rsidRPr="00100028">
        <w:rPr>
          <w:rStyle w:val="FootnoteReference"/>
          <w:rFonts w:asciiTheme="majorBidi" w:hAnsiTheme="majorBidi" w:cstheme="majorBidi"/>
          <w:sz w:val="24"/>
          <w:szCs w:val="24"/>
        </w:rPr>
        <w:footnoteReference w:id="192"/>
      </w:r>
    </w:p>
    <w:p w:rsidR="00D60ABE" w:rsidRPr="00100028" w:rsidRDefault="00D60ABE" w:rsidP="00100028">
      <w:pPr>
        <w:bidi w:val="0"/>
        <w:jc w:val="both"/>
        <w:rPr>
          <w:rFonts w:asciiTheme="majorBidi" w:hAnsiTheme="majorBidi" w:cstheme="majorBidi"/>
          <w:sz w:val="24"/>
          <w:szCs w:val="24"/>
        </w:rPr>
      </w:pPr>
    </w:p>
    <w:p w:rsidR="00D60ABE" w:rsidRPr="00100028" w:rsidRDefault="00385B4D"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Lastly, w</w:t>
      </w:r>
      <w:r w:rsidR="00D60ABE" w:rsidRPr="00100028">
        <w:rPr>
          <w:rFonts w:asciiTheme="majorBidi" w:hAnsiTheme="majorBidi" w:cstheme="majorBidi"/>
          <w:sz w:val="24"/>
          <w:szCs w:val="24"/>
          <w:lang w:val="en-GB"/>
        </w:rPr>
        <w:t>hen Britain applied the Palestinian Citizenship Order in 1925, it stripped those Palestine</w:t>
      </w:r>
      <w:r w:rsidR="00D60ABE" w:rsidRPr="00100028">
        <w:rPr>
          <w:rFonts w:asciiTheme="majorBidi" w:hAnsiTheme="majorBidi" w:cstheme="majorBidi"/>
          <w:sz w:val="24"/>
          <w:szCs w:val="24"/>
        </w:rPr>
        <w:t>’</w:t>
      </w:r>
      <w:r w:rsidR="00D60ABE" w:rsidRPr="00100028">
        <w:rPr>
          <w:rFonts w:asciiTheme="majorBidi" w:hAnsiTheme="majorBidi" w:cstheme="majorBidi"/>
          <w:sz w:val="24"/>
          <w:szCs w:val="24"/>
          <w:lang w:val="en-GB"/>
        </w:rPr>
        <w:t>s native residing abroad of their Palestinian citizenship.</w:t>
      </w:r>
      <w:r w:rsidR="00D60ABE" w:rsidRPr="00100028">
        <w:rPr>
          <w:rStyle w:val="FootnoteReference"/>
          <w:rFonts w:asciiTheme="majorBidi" w:hAnsiTheme="majorBidi" w:cstheme="majorBidi"/>
          <w:sz w:val="24"/>
          <w:szCs w:val="24"/>
          <w:lang w:val="en-GB"/>
        </w:rPr>
        <w:footnoteReference w:id="193"/>
      </w:r>
      <w:r w:rsidR="00D60ABE" w:rsidRPr="00100028">
        <w:rPr>
          <w:rFonts w:asciiTheme="majorBidi" w:hAnsiTheme="majorBidi" w:cstheme="majorBidi"/>
          <w:sz w:val="24"/>
          <w:szCs w:val="24"/>
          <w:lang w:val="en-GB"/>
        </w:rPr>
        <w:t xml:space="preserve"> In 1937, members of this group numbered over 40,000.</w:t>
      </w:r>
      <w:r w:rsidR="00D60ABE" w:rsidRPr="00100028">
        <w:rPr>
          <w:rStyle w:val="FootnoteReference"/>
          <w:rFonts w:asciiTheme="majorBidi" w:hAnsiTheme="majorBidi" w:cstheme="majorBidi"/>
          <w:sz w:val="24"/>
          <w:szCs w:val="24"/>
          <w:lang w:val="en-GB"/>
        </w:rPr>
        <w:footnoteReference w:id="194"/>
      </w:r>
      <w:r w:rsidRPr="00100028">
        <w:rPr>
          <w:rFonts w:asciiTheme="majorBidi" w:hAnsiTheme="majorBidi" w:cstheme="majorBidi"/>
          <w:sz w:val="24"/>
          <w:szCs w:val="24"/>
          <w:lang w:val="en-GB"/>
        </w:rPr>
        <w:t xml:space="preserve"> Some estimates today predict</w:t>
      </w:r>
      <w:r w:rsidR="00D60ABE" w:rsidRPr="00100028">
        <w:rPr>
          <w:rFonts w:asciiTheme="majorBidi" w:hAnsiTheme="majorBidi" w:cstheme="majorBidi"/>
          <w:sz w:val="24"/>
          <w:szCs w:val="24"/>
          <w:lang w:val="en-GB"/>
        </w:rPr>
        <w:t xml:space="preserve"> that their number exceeds 1 million.</w:t>
      </w:r>
      <w:r w:rsidR="00D60ABE" w:rsidRPr="00100028">
        <w:rPr>
          <w:rStyle w:val="FootnoteReference"/>
          <w:rFonts w:asciiTheme="majorBidi" w:hAnsiTheme="majorBidi" w:cstheme="majorBidi"/>
          <w:sz w:val="24"/>
          <w:szCs w:val="24"/>
          <w:lang w:val="en-GB"/>
        </w:rPr>
        <w:footnoteReference w:id="195"/>
      </w:r>
      <w:r w:rsidR="00D60ABE" w:rsidRPr="00100028">
        <w:rPr>
          <w:rFonts w:asciiTheme="majorBidi" w:hAnsiTheme="majorBidi" w:cstheme="majorBidi"/>
          <w:sz w:val="24"/>
          <w:szCs w:val="24"/>
          <w:lang w:val="en-GB"/>
        </w:rPr>
        <w:t xml:space="preserve"> If one roughly considers that the West Bank and Gaza to be about 20 per cent of the Mandate Palestine, no less than 200,000 persons of this category would have the right of return to the State of Palestine and to acquire Palestinian citizenship, as the case of other refugees discussed above.</w:t>
      </w:r>
      <w:r w:rsidR="00D60ABE" w:rsidRPr="00100028">
        <w:rPr>
          <w:rStyle w:val="FootnoteReference"/>
          <w:rFonts w:asciiTheme="majorBidi" w:hAnsiTheme="majorBidi" w:cstheme="majorBidi"/>
          <w:sz w:val="24"/>
          <w:szCs w:val="24"/>
          <w:lang w:val="en-GB"/>
        </w:rPr>
        <w:footnoteReference w:id="196"/>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9017CA" w:rsidP="00100028">
      <w:pPr>
        <w:pStyle w:val="ListParagraph"/>
        <w:numPr>
          <w:ilvl w:val="0"/>
          <w:numId w:val="7"/>
        </w:numPr>
        <w:spacing w:after="0"/>
        <w:jc w:val="both"/>
        <w:rPr>
          <w:rFonts w:asciiTheme="majorBidi" w:hAnsiTheme="majorBidi" w:cstheme="majorBidi"/>
          <w:b/>
          <w:bCs/>
          <w:szCs w:val="24"/>
          <w:lang w:val="en-GB"/>
        </w:rPr>
      </w:pPr>
      <w:r w:rsidRPr="00100028">
        <w:rPr>
          <w:rFonts w:asciiTheme="majorBidi" w:hAnsiTheme="majorBidi" w:cstheme="majorBidi"/>
          <w:b/>
          <w:bCs/>
          <w:szCs w:val="24"/>
          <w:lang w:val="en-GB"/>
        </w:rPr>
        <w:t>R</w:t>
      </w:r>
      <w:r w:rsidR="00EA410F" w:rsidRPr="00100028">
        <w:rPr>
          <w:rFonts w:asciiTheme="majorBidi" w:hAnsiTheme="majorBidi" w:cstheme="majorBidi"/>
          <w:b/>
          <w:bCs/>
          <w:szCs w:val="24"/>
          <w:lang w:val="en-GB"/>
        </w:rPr>
        <w:t xml:space="preserve">efugees in </w:t>
      </w:r>
      <w:r w:rsidR="00DC109C" w:rsidRPr="00100028">
        <w:rPr>
          <w:rFonts w:asciiTheme="majorBidi" w:hAnsiTheme="majorBidi" w:cstheme="majorBidi"/>
          <w:b/>
          <w:bCs/>
          <w:szCs w:val="24"/>
          <w:lang w:val="en-GB"/>
        </w:rPr>
        <w:t>the West Bank and Gaza</w:t>
      </w:r>
    </w:p>
    <w:p w:rsidR="00323D9A" w:rsidRDefault="00323D9A" w:rsidP="00100028">
      <w:pPr>
        <w:bidi w:val="0"/>
        <w:jc w:val="both"/>
        <w:rPr>
          <w:rFonts w:asciiTheme="majorBidi" w:hAnsiTheme="majorBidi" w:cstheme="majorBidi"/>
          <w:sz w:val="24"/>
          <w:szCs w:val="24"/>
          <w:lang w:val="en-GB"/>
        </w:rPr>
      </w:pPr>
    </w:p>
    <w:p w:rsidR="00A52788" w:rsidRPr="00100028" w:rsidRDefault="00DC109C" w:rsidP="00323D9A">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Palestinian refugees </w:t>
      </w:r>
      <w:r w:rsidR="008727C6" w:rsidRPr="00100028">
        <w:rPr>
          <w:rFonts w:asciiTheme="majorBidi" w:hAnsiTheme="majorBidi" w:cstheme="majorBidi"/>
          <w:sz w:val="24"/>
          <w:szCs w:val="24"/>
          <w:lang w:val="en-GB"/>
        </w:rPr>
        <w:t xml:space="preserve">who were </w:t>
      </w:r>
      <w:r w:rsidR="00A52788" w:rsidRPr="00100028">
        <w:rPr>
          <w:rFonts w:asciiTheme="majorBidi" w:hAnsiTheme="majorBidi" w:cstheme="majorBidi"/>
          <w:sz w:val="24"/>
          <w:szCs w:val="24"/>
          <w:lang w:val="en-GB"/>
        </w:rPr>
        <w:t>displaced from the parts of Palestine in which</w:t>
      </w:r>
      <w:r w:rsidR="008727C6" w:rsidRPr="00100028">
        <w:rPr>
          <w:rFonts w:asciiTheme="majorBidi" w:hAnsiTheme="majorBidi" w:cstheme="majorBidi"/>
          <w:sz w:val="24"/>
          <w:szCs w:val="24"/>
          <w:lang w:val="en-GB"/>
        </w:rPr>
        <w:t xml:space="preserve"> Israel was established in 1948 compose</w:t>
      </w:r>
      <w:r w:rsidR="00A52788" w:rsidRPr="00100028">
        <w:rPr>
          <w:rFonts w:asciiTheme="majorBidi" w:hAnsiTheme="majorBidi" w:cstheme="majorBidi"/>
          <w:sz w:val="24"/>
          <w:szCs w:val="24"/>
          <w:lang w:val="en-GB"/>
        </w:rPr>
        <w:t xml:space="preserve"> the largest category of Palestinians.</w:t>
      </w:r>
      <w:r w:rsidR="001D5000" w:rsidRPr="00100028">
        <w:rPr>
          <w:rStyle w:val="FootnoteReference"/>
          <w:rFonts w:asciiTheme="majorBidi" w:hAnsiTheme="majorBidi" w:cstheme="majorBidi"/>
          <w:sz w:val="24"/>
          <w:szCs w:val="24"/>
          <w:lang w:val="en-GB"/>
        </w:rPr>
        <w:footnoteReference w:id="197"/>
      </w:r>
      <w:r w:rsidR="00A52788" w:rsidRPr="00100028">
        <w:rPr>
          <w:rFonts w:asciiTheme="majorBidi" w:hAnsiTheme="majorBidi" w:cstheme="majorBidi"/>
          <w:sz w:val="24"/>
          <w:szCs w:val="24"/>
          <w:lang w:val="en-GB"/>
        </w:rPr>
        <w:t xml:space="preserve"> The number of such refugees registered by</w:t>
      </w:r>
      <w:r w:rsidR="00862C57" w:rsidRPr="00100028">
        <w:rPr>
          <w:rFonts w:asciiTheme="majorBidi" w:hAnsiTheme="majorBidi" w:cstheme="majorBidi"/>
          <w:sz w:val="24"/>
          <w:szCs w:val="24"/>
          <w:lang w:val="en-GB"/>
        </w:rPr>
        <w:t xml:space="preserve"> UNRWA is</w:t>
      </w:r>
      <w:r w:rsidRPr="00100028">
        <w:rPr>
          <w:rFonts w:asciiTheme="majorBidi" w:hAnsiTheme="majorBidi" w:cstheme="majorBidi"/>
          <w:sz w:val="24"/>
          <w:szCs w:val="24"/>
          <w:lang w:val="en-GB"/>
        </w:rPr>
        <w:t xml:space="preserve"> 5</w:t>
      </w:r>
      <w:r w:rsidR="00A73546" w:rsidRPr="00100028">
        <w:rPr>
          <w:rFonts w:asciiTheme="majorBidi" w:hAnsiTheme="majorBidi" w:cstheme="majorBidi"/>
          <w:sz w:val="24"/>
          <w:szCs w:val="24"/>
          <w:lang w:val="en-GB"/>
        </w:rPr>
        <w:t>.</w:t>
      </w:r>
      <w:r w:rsidR="00862C57" w:rsidRPr="00100028">
        <w:rPr>
          <w:rFonts w:asciiTheme="majorBidi" w:hAnsiTheme="majorBidi" w:cstheme="majorBidi"/>
          <w:sz w:val="24"/>
          <w:szCs w:val="24"/>
          <w:lang w:val="en-GB"/>
        </w:rPr>
        <w:t>094.886 million in 2015</w:t>
      </w:r>
      <w:r w:rsidR="00A52788" w:rsidRPr="00100028">
        <w:rPr>
          <w:rFonts w:asciiTheme="majorBidi" w:hAnsiTheme="majorBidi" w:cstheme="majorBidi"/>
          <w:sz w:val="24"/>
          <w:szCs w:val="24"/>
          <w:lang w:val="en-GB"/>
        </w:rPr>
        <w:t>.</w:t>
      </w:r>
      <w:r w:rsidR="007D2810" w:rsidRPr="00100028">
        <w:rPr>
          <w:rStyle w:val="FootnoteReference"/>
          <w:rFonts w:asciiTheme="majorBidi" w:hAnsiTheme="majorBidi" w:cstheme="majorBidi"/>
          <w:sz w:val="24"/>
          <w:szCs w:val="24"/>
          <w:lang w:val="en-GB"/>
        </w:rPr>
        <w:footnoteReference w:id="198"/>
      </w:r>
      <w:r w:rsidR="00A52788" w:rsidRPr="00100028">
        <w:rPr>
          <w:rFonts w:asciiTheme="majorBidi" w:hAnsiTheme="majorBidi" w:cstheme="majorBidi"/>
          <w:sz w:val="24"/>
          <w:szCs w:val="24"/>
          <w:lang w:val="en-GB"/>
        </w:rPr>
        <w:t xml:space="preserve"> Thousands of other refugees (the exact number is unknown) are not registered with UNRWA. According to international l</w:t>
      </w:r>
      <w:r w:rsidRPr="00100028">
        <w:rPr>
          <w:rFonts w:asciiTheme="majorBidi" w:hAnsiTheme="majorBidi" w:cstheme="majorBidi"/>
          <w:sz w:val="24"/>
          <w:szCs w:val="24"/>
          <w:lang w:val="en-GB"/>
        </w:rPr>
        <w:t>aw</w:t>
      </w:r>
      <w:r w:rsidR="00A52788" w:rsidRPr="00100028">
        <w:rPr>
          <w:rFonts w:asciiTheme="majorBidi" w:hAnsiTheme="majorBidi" w:cstheme="majorBidi"/>
          <w:sz w:val="24"/>
          <w:szCs w:val="24"/>
          <w:lang w:val="en-GB"/>
        </w:rPr>
        <w:t>, these refugees have the right to return to Israel and to become Israeli citizens.</w:t>
      </w:r>
      <w:r w:rsidR="007D2810" w:rsidRPr="00100028">
        <w:rPr>
          <w:rStyle w:val="FootnoteReference"/>
          <w:rFonts w:asciiTheme="majorBidi" w:hAnsiTheme="majorBidi" w:cstheme="majorBidi"/>
          <w:sz w:val="24"/>
          <w:szCs w:val="24"/>
          <w:lang w:val="en-GB"/>
        </w:rPr>
        <w:footnoteReference w:id="199"/>
      </w:r>
      <w:r w:rsidR="00A52788" w:rsidRPr="00100028">
        <w:rPr>
          <w:rFonts w:asciiTheme="majorBidi" w:hAnsiTheme="majorBidi" w:cstheme="majorBidi"/>
          <w:sz w:val="24"/>
          <w:szCs w:val="24"/>
          <w:lang w:val="en-GB"/>
        </w:rPr>
        <w:t xml:space="preserve"> Israel will most likely continue to oppose the right of return </w:t>
      </w:r>
      <w:r w:rsidR="00A52788" w:rsidRPr="00100028">
        <w:rPr>
          <w:rFonts w:asciiTheme="majorBidi" w:hAnsiTheme="majorBidi" w:cstheme="majorBidi"/>
          <w:sz w:val="24"/>
          <w:szCs w:val="24"/>
          <w:lang w:val="en-GB"/>
        </w:rPr>
        <w:lastRenderedPageBreak/>
        <w:t>to its territory,</w:t>
      </w:r>
      <w:r w:rsidR="008727C6" w:rsidRPr="00100028">
        <w:rPr>
          <w:rFonts w:asciiTheme="majorBidi" w:hAnsiTheme="majorBidi" w:cstheme="majorBidi"/>
          <w:sz w:val="24"/>
          <w:szCs w:val="24"/>
          <w:lang w:val="en-GB"/>
        </w:rPr>
        <w:t xml:space="preserve"> as it has done for the past almost seven</w:t>
      </w:r>
      <w:r w:rsidR="00A52788" w:rsidRPr="00100028">
        <w:rPr>
          <w:rFonts w:asciiTheme="majorBidi" w:hAnsiTheme="majorBidi" w:cstheme="majorBidi"/>
          <w:sz w:val="24"/>
          <w:szCs w:val="24"/>
          <w:lang w:val="en-GB"/>
        </w:rPr>
        <w:t xml:space="preserve"> decades.</w:t>
      </w:r>
      <w:r w:rsidR="007D2810" w:rsidRPr="00100028">
        <w:rPr>
          <w:rStyle w:val="FootnoteReference"/>
          <w:rFonts w:asciiTheme="majorBidi" w:hAnsiTheme="majorBidi" w:cstheme="majorBidi"/>
          <w:sz w:val="24"/>
          <w:szCs w:val="24"/>
          <w:lang w:val="en-GB"/>
        </w:rPr>
        <w:footnoteReference w:id="200"/>
      </w:r>
      <w:r w:rsidR="00A52788" w:rsidRPr="00100028">
        <w:rPr>
          <w:rFonts w:asciiTheme="majorBidi" w:hAnsiTheme="majorBidi" w:cstheme="majorBidi"/>
          <w:sz w:val="24"/>
          <w:szCs w:val="24"/>
          <w:lang w:val="en-GB"/>
        </w:rPr>
        <w:t xml:space="preserve"> The obligation of permitting the return of these refugees lies with Israel, not with the </w:t>
      </w:r>
      <w:r w:rsidR="00FE2B16" w:rsidRPr="00100028">
        <w:rPr>
          <w:rFonts w:asciiTheme="majorBidi" w:hAnsiTheme="majorBidi" w:cstheme="majorBidi"/>
          <w:sz w:val="24"/>
          <w:szCs w:val="24"/>
          <w:lang w:val="en-GB"/>
        </w:rPr>
        <w:t>State</w:t>
      </w:r>
      <w:r w:rsidR="00A52788" w:rsidRPr="00100028">
        <w:rPr>
          <w:rFonts w:asciiTheme="majorBidi" w:hAnsiTheme="majorBidi" w:cstheme="majorBidi"/>
          <w:sz w:val="24"/>
          <w:szCs w:val="24"/>
          <w:lang w:val="en-GB"/>
        </w:rPr>
        <w:t xml:space="preserve"> of Palestine. Yet </w:t>
      </w:r>
      <w:r w:rsidRPr="00100028">
        <w:rPr>
          <w:rFonts w:asciiTheme="majorBidi" w:hAnsiTheme="majorBidi" w:cstheme="majorBidi"/>
          <w:sz w:val="24"/>
          <w:szCs w:val="24"/>
          <w:lang w:val="en-GB"/>
        </w:rPr>
        <w:t xml:space="preserve">Palestine </w:t>
      </w:r>
      <w:r w:rsidR="008727C6" w:rsidRPr="00100028">
        <w:rPr>
          <w:rFonts w:asciiTheme="majorBidi" w:hAnsiTheme="majorBidi" w:cstheme="majorBidi"/>
          <w:sz w:val="24"/>
          <w:szCs w:val="24"/>
          <w:lang w:val="en-GB"/>
        </w:rPr>
        <w:t xml:space="preserve">(or the PLO) </w:t>
      </w:r>
      <w:r w:rsidR="00A52788" w:rsidRPr="00100028">
        <w:rPr>
          <w:rFonts w:asciiTheme="majorBidi" w:hAnsiTheme="majorBidi" w:cstheme="majorBidi"/>
          <w:sz w:val="24"/>
          <w:szCs w:val="24"/>
          <w:lang w:val="en-GB"/>
        </w:rPr>
        <w:t>would have a historical/political/mor</w:t>
      </w:r>
      <w:r w:rsidRPr="00100028">
        <w:rPr>
          <w:rFonts w:asciiTheme="majorBidi" w:hAnsiTheme="majorBidi" w:cstheme="majorBidi"/>
          <w:sz w:val="24"/>
          <w:szCs w:val="24"/>
          <w:lang w:val="en-GB"/>
        </w:rPr>
        <w:t>al duty to defend their rights.</w:t>
      </w:r>
    </w:p>
    <w:p w:rsidR="00A52788" w:rsidRPr="00100028" w:rsidRDefault="00A52788" w:rsidP="00100028">
      <w:pPr>
        <w:bidi w:val="0"/>
        <w:jc w:val="both"/>
        <w:rPr>
          <w:rFonts w:asciiTheme="majorBidi" w:hAnsiTheme="majorBidi" w:cstheme="majorBidi"/>
          <w:sz w:val="24"/>
          <w:szCs w:val="24"/>
          <w:lang w:val="en-GB"/>
        </w:rPr>
      </w:pPr>
    </w:p>
    <w:p w:rsidR="00DC109C" w:rsidRPr="00100028" w:rsidRDefault="007D2810"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Palestinian</w:t>
      </w:r>
      <w:r w:rsidR="00DC109C" w:rsidRPr="00100028">
        <w:rPr>
          <w:rFonts w:asciiTheme="majorBidi" w:hAnsiTheme="majorBidi" w:cstheme="majorBidi"/>
          <w:sz w:val="24"/>
          <w:szCs w:val="24"/>
          <w:lang w:val="en-GB"/>
        </w:rPr>
        <w:t xml:space="preserve"> refugees are scattered mainly in Jordan, Lebanon, and Syria, in addition to</w:t>
      </w:r>
      <w:r w:rsidR="008727C6" w:rsidRPr="00100028">
        <w:rPr>
          <w:rFonts w:asciiTheme="majorBidi" w:hAnsiTheme="majorBidi" w:cstheme="majorBidi"/>
          <w:sz w:val="24"/>
          <w:szCs w:val="24"/>
          <w:lang w:val="en-GB"/>
        </w:rPr>
        <w:t xml:space="preserve"> Gaza and the West Bank. This study</w:t>
      </w:r>
      <w:r w:rsidR="00DC109C" w:rsidRPr="00100028">
        <w:rPr>
          <w:rFonts w:asciiTheme="majorBidi" w:hAnsiTheme="majorBidi" w:cstheme="majorBidi"/>
          <w:sz w:val="24"/>
          <w:szCs w:val="24"/>
          <w:lang w:val="en-GB"/>
        </w:rPr>
        <w:t xml:space="preserve"> addresses the status of the inhabitants of </w:t>
      </w:r>
      <w:r w:rsidR="00A61D42" w:rsidRPr="00100028">
        <w:rPr>
          <w:rFonts w:asciiTheme="majorBidi" w:hAnsiTheme="majorBidi" w:cstheme="majorBidi"/>
          <w:sz w:val="24"/>
          <w:szCs w:val="24"/>
          <w:lang w:val="en-GB"/>
        </w:rPr>
        <w:t xml:space="preserve">the 1967 </w:t>
      </w:r>
      <w:r w:rsidR="00DC109C" w:rsidRPr="00100028">
        <w:rPr>
          <w:rFonts w:asciiTheme="majorBidi" w:hAnsiTheme="majorBidi" w:cstheme="majorBidi"/>
          <w:sz w:val="24"/>
          <w:szCs w:val="24"/>
          <w:lang w:val="en-GB"/>
        </w:rPr>
        <w:t xml:space="preserve">occupied territory and therefore the status of refugees in other countries is beyond its scope. </w:t>
      </w:r>
      <w:r w:rsidR="00A61D42" w:rsidRPr="00100028">
        <w:rPr>
          <w:rFonts w:asciiTheme="majorBidi" w:hAnsiTheme="majorBidi" w:cstheme="majorBidi"/>
          <w:sz w:val="24"/>
          <w:szCs w:val="24"/>
          <w:lang w:val="en-GB"/>
        </w:rPr>
        <w:t>Put it differently,</w:t>
      </w:r>
      <w:r w:rsidR="00DC109C" w:rsidRPr="00100028">
        <w:rPr>
          <w:rFonts w:asciiTheme="majorBidi" w:hAnsiTheme="majorBidi" w:cstheme="majorBidi"/>
          <w:sz w:val="24"/>
          <w:szCs w:val="24"/>
          <w:lang w:val="en-GB"/>
        </w:rPr>
        <w:t xml:space="preserve"> refugees </w:t>
      </w:r>
      <w:r w:rsidR="00A61D42" w:rsidRPr="00100028">
        <w:rPr>
          <w:rFonts w:asciiTheme="majorBidi" w:hAnsiTheme="majorBidi" w:cstheme="majorBidi"/>
          <w:sz w:val="24"/>
          <w:szCs w:val="24"/>
          <w:lang w:val="en-GB"/>
        </w:rPr>
        <w:t>in the West Bank and Gaza are</w:t>
      </w:r>
      <w:r w:rsidR="00DC109C" w:rsidRPr="00100028">
        <w:rPr>
          <w:rFonts w:asciiTheme="majorBidi" w:hAnsiTheme="majorBidi" w:cstheme="majorBidi"/>
          <w:sz w:val="24"/>
          <w:szCs w:val="24"/>
          <w:lang w:val="en-GB"/>
        </w:rPr>
        <w:t xml:space="preserve"> treated here not as refugees per se</w:t>
      </w:r>
      <w:r w:rsidR="00A61D42" w:rsidRPr="00100028">
        <w:rPr>
          <w:rFonts w:asciiTheme="majorBidi" w:hAnsiTheme="majorBidi" w:cstheme="majorBidi"/>
          <w:sz w:val="24"/>
          <w:szCs w:val="24"/>
          <w:lang w:val="en-GB"/>
        </w:rPr>
        <w:t>,</w:t>
      </w:r>
      <w:r w:rsidR="00DC109C" w:rsidRPr="00100028">
        <w:rPr>
          <w:rFonts w:asciiTheme="majorBidi" w:hAnsiTheme="majorBidi" w:cstheme="majorBidi"/>
          <w:sz w:val="24"/>
          <w:szCs w:val="24"/>
          <w:lang w:val="en-GB"/>
        </w:rPr>
        <w:t xml:space="preserve"> but rather as resident</w:t>
      </w:r>
      <w:r w:rsidR="00A61D42" w:rsidRPr="00100028">
        <w:rPr>
          <w:rFonts w:asciiTheme="majorBidi" w:hAnsiTheme="majorBidi" w:cstheme="majorBidi"/>
          <w:sz w:val="24"/>
          <w:szCs w:val="24"/>
          <w:lang w:val="en-GB"/>
        </w:rPr>
        <w:t>s</w:t>
      </w:r>
      <w:r w:rsidR="00DC109C" w:rsidRPr="00100028">
        <w:rPr>
          <w:rFonts w:asciiTheme="majorBidi" w:hAnsiTheme="majorBidi" w:cstheme="majorBidi"/>
          <w:sz w:val="24"/>
          <w:szCs w:val="24"/>
          <w:lang w:val="en-GB"/>
        </w:rPr>
        <w:t xml:space="preserve"> </w:t>
      </w:r>
      <w:r w:rsidR="00A61D42" w:rsidRPr="00100028">
        <w:rPr>
          <w:rFonts w:asciiTheme="majorBidi" w:hAnsiTheme="majorBidi" w:cstheme="majorBidi"/>
          <w:sz w:val="24"/>
          <w:szCs w:val="24"/>
          <w:lang w:val="en-GB"/>
        </w:rPr>
        <w:t xml:space="preserve">of the </w:t>
      </w:r>
      <w:r w:rsidR="00FE2B16" w:rsidRPr="00100028">
        <w:rPr>
          <w:rFonts w:asciiTheme="majorBidi" w:hAnsiTheme="majorBidi" w:cstheme="majorBidi"/>
          <w:sz w:val="24"/>
          <w:szCs w:val="24"/>
          <w:lang w:val="en-GB"/>
        </w:rPr>
        <w:t>State</w:t>
      </w:r>
      <w:r w:rsidR="00A61D42" w:rsidRPr="00100028">
        <w:rPr>
          <w:rFonts w:asciiTheme="majorBidi" w:hAnsiTheme="majorBidi" w:cstheme="majorBidi"/>
          <w:sz w:val="24"/>
          <w:szCs w:val="24"/>
          <w:lang w:val="en-GB"/>
        </w:rPr>
        <w:t xml:space="preserve"> of Palestine</w:t>
      </w:r>
      <w:r w:rsidR="00DC109C" w:rsidRPr="00100028">
        <w:rPr>
          <w:rFonts w:asciiTheme="majorBidi" w:hAnsiTheme="majorBidi" w:cstheme="majorBidi"/>
          <w:sz w:val="24"/>
          <w:szCs w:val="24"/>
          <w:lang w:val="en-GB"/>
        </w:rPr>
        <w:t>.</w:t>
      </w:r>
    </w:p>
    <w:p w:rsidR="00DC109C" w:rsidRPr="00100028" w:rsidRDefault="00DC109C" w:rsidP="00100028">
      <w:pPr>
        <w:bidi w:val="0"/>
        <w:jc w:val="both"/>
        <w:rPr>
          <w:rFonts w:asciiTheme="majorBidi" w:hAnsiTheme="majorBidi" w:cstheme="majorBidi"/>
          <w:sz w:val="24"/>
          <w:szCs w:val="24"/>
          <w:lang w:val="en-GB"/>
        </w:rPr>
      </w:pPr>
    </w:p>
    <w:p w:rsidR="00A52788" w:rsidRPr="00100028" w:rsidRDefault="00A61D42"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Refugees of West Bank and Gaza today </w:t>
      </w:r>
      <w:r w:rsidR="00A52788" w:rsidRPr="00100028">
        <w:rPr>
          <w:rFonts w:asciiTheme="majorBidi" w:hAnsiTheme="majorBidi" w:cstheme="majorBidi"/>
          <w:sz w:val="24"/>
          <w:szCs w:val="24"/>
          <w:lang w:val="en-GB"/>
        </w:rPr>
        <w:t>originally came from the territory of Mandate Palestine that became Israel in 1947-1</w:t>
      </w:r>
      <w:r w:rsidRPr="00100028">
        <w:rPr>
          <w:rFonts w:asciiTheme="majorBidi" w:hAnsiTheme="majorBidi" w:cstheme="majorBidi"/>
          <w:sz w:val="24"/>
          <w:szCs w:val="24"/>
          <w:lang w:val="en-GB"/>
        </w:rPr>
        <w:t>949 and afterwards</w:t>
      </w:r>
      <w:r w:rsidR="00A52788" w:rsidRPr="00100028">
        <w:rPr>
          <w:rFonts w:asciiTheme="majorBidi" w:hAnsiTheme="majorBidi" w:cstheme="majorBidi"/>
          <w:sz w:val="24"/>
          <w:szCs w:val="24"/>
          <w:lang w:val="en-GB"/>
        </w:rPr>
        <w:t>. M</w:t>
      </w:r>
      <w:r w:rsidRPr="00100028">
        <w:rPr>
          <w:rFonts w:asciiTheme="majorBidi" w:hAnsiTheme="majorBidi" w:cstheme="majorBidi"/>
          <w:sz w:val="24"/>
          <w:szCs w:val="24"/>
          <w:lang w:val="en-GB"/>
        </w:rPr>
        <w:t xml:space="preserve">embers </w:t>
      </w:r>
      <w:r w:rsidR="003A14AF" w:rsidRPr="00100028">
        <w:rPr>
          <w:rFonts w:asciiTheme="majorBidi" w:hAnsiTheme="majorBidi" w:cstheme="majorBidi"/>
          <w:sz w:val="24"/>
          <w:szCs w:val="24"/>
          <w:lang w:val="en-GB"/>
        </w:rPr>
        <w:t>of this category total 2.020.847</w:t>
      </w:r>
      <w:r w:rsidR="00603F2A" w:rsidRPr="00100028">
        <w:rPr>
          <w:rFonts w:asciiTheme="majorBidi" w:hAnsiTheme="majorBidi" w:cstheme="majorBidi"/>
          <w:sz w:val="24"/>
          <w:szCs w:val="24"/>
          <w:lang w:val="en-GB"/>
        </w:rPr>
        <w:t xml:space="preserve"> persons in 2015</w:t>
      </w:r>
      <w:r w:rsidR="00A52788" w:rsidRPr="00100028">
        <w:rPr>
          <w:rFonts w:asciiTheme="majorBidi" w:hAnsiTheme="majorBidi" w:cstheme="majorBidi"/>
          <w:sz w:val="24"/>
          <w:szCs w:val="24"/>
          <w:lang w:val="en-GB"/>
        </w:rPr>
        <w:t>, ac</w:t>
      </w:r>
      <w:r w:rsidRPr="00100028">
        <w:rPr>
          <w:rFonts w:asciiTheme="majorBidi" w:hAnsiTheme="majorBidi" w:cstheme="majorBidi"/>
          <w:sz w:val="24"/>
          <w:szCs w:val="24"/>
          <w:lang w:val="en-GB"/>
        </w:rPr>
        <w:t>cording UNRWA</w:t>
      </w:r>
      <w:r w:rsidR="00A52788" w:rsidRPr="00100028">
        <w:rPr>
          <w:rFonts w:asciiTheme="majorBidi" w:hAnsiTheme="majorBidi" w:cstheme="majorBidi"/>
          <w:sz w:val="24"/>
          <w:szCs w:val="24"/>
          <w:lang w:val="en-GB"/>
        </w:rPr>
        <w:t>,</w:t>
      </w:r>
      <w:r w:rsidR="00A204C7" w:rsidRPr="00100028">
        <w:rPr>
          <w:rStyle w:val="FootnoteReference"/>
          <w:rFonts w:asciiTheme="majorBidi" w:hAnsiTheme="majorBidi" w:cstheme="majorBidi"/>
          <w:sz w:val="24"/>
          <w:szCs w:val="24"/>
          <w:lang w:val="en-GB"/>
        </w:rPr>
        <w:footnoteReference w:id="201"/>
      </w:r>
      <w:r w:rsidR="00603F2A" w:rsidRPr="00100028">
        <w:rPr>
          <w:rFonts w:asciiTheme="majorBidi" w:hAnsiTheme="majorBidi" w:cstheme="majorBidi"/>
          <w:sz w:val="24"/>
          <w:szCs w:val="24"/>
          <w:lang w:val="en-GB"/>
        </w:rPr>
        <w:t xml:space="preserve"> approximately</w:t>
      </w:r>
      <w:r w:rsidR="00A52788" w:rsidRPr="00100028" w:rsidDel="00B50B89">
        <w:rPr>
          <w:rFonts w:asciiTheme="majorBidi" w:hAnsiTheme="majorBidi" w:cstheme="majorBidi"/>
          <w:sz w:val="24"/>
          <w:szCs w:val="24"/>
          <w:lang w:val="en-GB"/>
        </w:rPr>
        <w:t xml:space="preserve"> </w:t>
      </w:r>
      <w:r w:rsidR="00603F2A" w:rsidRPr="00100028">
        <w:rPr>
          <w:rFonts w:asciiTheme="majorBidi" w:hAnsiTheme="majorBidi" w:cstheme="majorBidi"/>
          <w:sz w:val="24"/>
          <w:szCs w:val="24"/>
          <w:lang w:val="en-GB"/>
        </w:rPr>
        <w:t>43</w:t>
      </w:r>
      <w:r w:rsidR="00FE2B16" w:rsidRPr="00100028">
        <w:rPr>
          <w:rFonts w:asciiTheme="majorBidi" w:hAnsiTheme="majorBidi" w:cstheme="majorBidi"/>
          <w:sz w:val="24"/>
          <w:szCs w:val="24"/>
          <w:lang w:val="en-GB"/>
        </w:rPr>
        <w:t xml:space="preserve"> per cent</w:t>
      </w:r>
      <w:r w:rsidR="00A52788" w:rsidRPr="00100028">
        <w:rPr>
          <w:rFonts w:asciiTheme="majorBidi" w:hAnsiTheme="majorBidi" w:cstheme="majorBidi"/>
          <w:sz w:val="24"/>
          <w:szCs w:val="24"/>
          <w:lang w:val="en-GB"/>
        </w:rPr>
        <w:t xml:space="preserve"> o</w:t>
      </w:r>
      <w:r w:rsidR="00603F2A" w:rsidRPr="00100028">
        <w:rPr>
          <w:rFonts w:asciiTheme="majorBidi" w:hAnsiTheme="majorBidi" w:cstheme="majorBidi"/>
          <w:sz w:val="24"/>
          <w:szCs w:val="24"/>
          <w:lang w:val="en-GB"/>
        </w:rPr>
        <w:t>f the population of the</w:t>
      </w:r>
      <w:r w:rsidR="00A52788" w:rsidRPr="00100028">
        <w:rPr>
          <w:rFonts w:asciiTheme="majorBidi" w:hAnsiTheme="majorBidi" w:cstheme="majorBidi"/>
          <w:sz w:val="24"/>
          <w:szCs w:val="24"/>
          <w:lang w:val="en-GB"/>
        </w:rPr>
        <w:t xml:space="preserve"> Palestinian territory.</w:t>
      </w:r>
      <w:r w:rsidR="00A204C7" w:rsidRPr="00100028">
        <w:rPr>
          <w:rStyle w:val="FootnoteReference"/>
          <w:rFonts w:asciiTheme="majorBidi" w:hAnsiTheme="majorBidi" w:cstheme="majorBidi"/>
          <w:sz w:val="24"/>
          <w:szCs w:val="24"/>
          <w:lang w:val="en-GB"/>
        </w:rPr>
        <w:footnoteReference w:id="202"/>
      </w:r>
      <w:r w:rsidR="00A52788" w:rsidRPr="00100028">
        <w:rPr>
          <w:rFonts w:asciiTheme="majorBidi" w:hAnsiTheme="majorBidi" w:cstheme="majorBidi"/>
          <w:sz w:val="24"/>
          <w:szCs w:val="24"/>
          <w:lang w:val="en-GB"/>
        </w:rPr>
        <w:t xml:space="preserve"> In effect, this group has similar local status to West Bankers, Jerusalemites</w:t>
      </w:r>
      <w:r w:rsidR="0054428A" w:rsidRPr="00100028">
        <w:rPr>
          <w:rFonts w:asciiTheme="majorBidi" w:hAnsiTheme="majorBidi" w:cstheme="majorBidi"/>
          <w:sz w:val="24"/>
          <w:szCs w:val="24"/>
          <w:lang w:val="en-GB"/>
        </w:rPr>
        <w:t>,</w:t>
      </w:r>
      <w:r w:rsidR="00A52788" w:rsidRPr="00100028">
        <w:rPr>
          <w:rFonts w:asciiTheme="majorBidi" w:hAnsiTheme="majorBidi" w:cstheme="majorBidi"/>
          <w:sz w:val="24"/>
          <w:szCs w:val="24"/>
          <w:lang w:val="en-GB"/>
        </w:rPr>
        <w:t xml:space="preserve"> </w:t>
      </w:r>
      <w:r w:rsidR="007D2810" w:rsidRPr="00100028">
        <w:rPr>
          <w:rFonts w:asciiTheme="majorBidi" w:hAnsiTheme="majorBidi" w:cstheme="majorBidi"/>
          <w:sz w:val="24"/>
          <w:szCs w:val="24"/>
          <w:lang w:val="en-GB"/>
        </w:rPr>
        <w:t>and Gazans, as the case may be.</w:t>
      </w: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 </w:t>
      </w:r>
    </w:p>
    <w:p w:rsidR="00A52788" w:rsidRPr="00100028" w:rsidRDefault="000C18F4"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 xml:space="preserve">Technically, had Palestine </w:t>
      </w:r>
      <w:r w:rsidR="00A52788" w:rsidRPr="00100028">
        <w:rPr>
          <w:rFonts w:asciiTheme="majorBidi" w:hAnsiTheme="majorBidi" w:cstheme="majorBidi"/>
          <w:sz w:val="24"/>
          <w:szCs w:val="24"/>
          <w:lang w:val="en-GB"/>
        </w:rPr>
        <w:t>re</w:t>
      </w:r>
      <w:r w:rsidR="0001079E" w:rsidRPr="00100028">
        <w:rPr>
          <w:rFonts w:asciiTheme="majorBidi" w:hAnsiTheme="majorBidi" w:cstheme="majorBidi"/>
          <w:sz w:val="24"/>
          <w:szCs w:val="24"/>
          <w:lang w:val="en-GB"/>
        </w:rPr>
        <w:t>mained one entity as it was</w:t>
      </w:r>
      <w:r w:rsidR="00A52788" w:rsidRPr="00100028">
        <w:rPr>
          <w:rFonts w:asciiTheme="majorBidi" w:hAnsiTheme="majorBidi" w:cstheme="majorBidi"/>
          <w:sz w:val="24"/>
          <w:szCs w:val="24"/>
          <w:lang w:val="en-GB"/>
        </w:rPr>
        <w:t xml:space="preserve"> under British rule</w:t>
      </w:r>
      <w:r w:rsidRPr="00100028">
        <w:rPr>
          <w:rFonts w:asciiTheme="majorBidi" w:hAnsiTheme="majorBidi" w:cstheme="majorBidi"/>
          <w:sz w:val="24"/>
          <w:szCs w:val="24"/>
          <w:lang w:val="en-GB"/>
        </w:rPr>
        <w:t xml:space="preserve"> before 1948</w:t>
      </w:r>
      <w:r w:rsidR="00A52788" w:rsidRPr="00100028">
        <w:rPr>
          <w:rFonts w:asciiTheme="majorBidi" w:hAnsiTheme="majorBidi" w:cstheme="majorBidi"/>
          <w:sz w:val="24"/>
          <w:szCs w:val="24"/>
          <w:lang w:val="en-GB"/>
        </w:rPr>
        <w:t>, Palestinia</w:t>
      </w:r>
      <w:r w:rsidR="0001079E" w:rsidRPr="00100028">
        <w:rPr>
          <w:rFonts w:asciiTheme="majorBidi" w:hAnsiTheme="majorBidi" w:cstheme="majorBidi"/>
          <w:sz w:val="24"/>
          <w:szCs w:val="24"/>
          <w:lang w:val="en-GB"/>
        </w:rPr>
        <w:t>n citizens who moved eastwards to the West Bank</w:t>
      </w:r>
      <w:r w:rsidR="00A52788" w:rsidRPr="00100028">
        <w:rPr>
          <w:rFonts w:asciiTheme="majorBidi" w:hAnsiTheme="majorBidi" w:cstheme="majorBidi"/>
          <w:sz w:val="24"/>
          <w:szCs w:val="24"/>
          <w:lang w:val="en-GB"/>
        </w:rPr>
        <w:t xml:space="preserve"> </w:t>
      </w:r>
      <w:r w:rsidR="0001079E" w:rsidRPr="00100028">
        <w:rPr>
          <w:rFonts w:asciiTheme="majorBidi" w:hAnsiTheme="majorBidi" w:cstheme="majorBidi"/>
          <w:sz w:val="24"/>
          <w:szCs w:val="24"/>
          <w:lang w:val="en-GB"/>
        </w:rPr>
        <w:t>or southwards onto Gaza</w:t>
      </w:r>
      <w:r w:rsidR="00A52788" w:rsidRPr="00100028">
        <w:rPr>
          <w:rFonts w:asciiTheme="majorBidi" w:hAnsiTheme="majorBidi" w:cstheme="majorBidi"/>
          <w:sz w:val="24"/>
          <w:szCs w:val="24"/>
          <w:lang w:val="en-GB"/>
        </w:rPr>
        <w:t xml:space="preserve"> would have been considered as internally displaced persons. Part of this group still lives in ref</w:t>
      </w:r>
      <w:r w:rsidRPr="00100028">
        <w:rPr>
          <w:rFonts w:asciiTheme="majorBidi" w:hAnsiTheme="majorBidi" w:cstheme="majorBidi"/>
          <w:sz w:val="24"/>
          <w:szCs w:val="24"/>
          <w:lang w:val="en-GB"/>
        </w:rPr>
        <w:t>ugee camps, while others reside</w:t>
      </w:r>
      <w:r w:rsidR="00A52788" w:rsidRPr="00100028">
        <w:rPr>
          <w:rFonts w:asciiTheme="majorBidi" w:hAnsiTheme="majorBidi" w:cstheme="majorBidi"/>
          <w:sz w:val="24"/>
          <w:szCs w:val="24"/>
          <w:lang w:val="en-GB"/>
        </w:rPr>
        <w:t xml:space="preserve"> in towns.</w:t>
      </w:r>
      <w:r w:rsidR="007D2810" w:rsidRPr="00100028">
        <w:rPr>
          <w:rStyle w:val="FootnoteReference"/>
          <w:rFonts w:asciiTheme="majorBidi" w:hAnsiTheme="majorBidi" w:cstheme="majorBidi"/>
          <w:sz w:val="24"/>
          <w:szCs w:val="24"/>
          <w:lang w:val="en-GB"/>
        </w:rPr>
        <w:footnoteReference w:id="203"/>
      </w:r>
      <w:r w:rsidR="00A52788" w:rsidRPr="00100028">
        <w:rPr>
          <w:rFonts w:asciiTheme="majorBidi" w:hAnsiTheme="majorBidi" w:cstheme="majorBidi"/>
          <w:sz w:val="24"/>
          <w:szCs w:val="24"/>
          <w:lang w:val="en-GB"/>
        </w:rPr>
        <w:t xml:space="preserve"> However, in practic</w:t>
      </w:r>
      <w:r w:rsidRPr="00100028">
        <w:rPr>
          <w:rFonts w:asciiTheme="majorBidi" w:hAnsiTheme="majorBidi" w:cstheme="majorBidi"/>
          <w:sz w:val="24"/>
          <w:szCs w:val="24"/>
          <w:lang w:val="en-GB"/>
        </w:rPr>
        <w:t>e, as</w:t>
      </w:r>
      <w:r w:rsidR="0001079E" w:rsidRPr="00100028">
        <w:rPr>
          <w:rFonts w:asciiTheme="majorBidi" w:hAnsiTheme="majorBidi" w:cstheme="majorBidi"/>
          <w:sz w:val="24"/>
          <w:szCs w:val="24"/>
          <w:lang w:val="en-GB"/>
        </w:rPr>
        <w:t xml:space="preserve"> the West Bank and Gaza</w:t>
      </w:r>
      <w:r w:rsidR="00A52788" w:rsidRPr="00100028">
        <w:rPr>
          <w:rFonts w:asciiTheme="majorBidi" w:hAnsiTheme="majorBidi" w:cstheme="majorBidi"/>
          <w:sz w:val="24"/>
          <w:szCs w:val="24"/>
          <w:lang w:val="en-GB"/>
        </w:rPr>
        <w:t xml:space="preserve"> were separated from the parts of Palestine in which Israel was established, these Palestinians obtained refugee status under international law. Although</w:t>
      </w:r>
      <w:r w:rsidR="0031031F" w:rsidRPr="00100028">
        <w:rPr>
          <w:rFonts w:asciiTheme="majorBidi" w:hAnsiTheme="majorBidi" w:cstheme="majorBidi"/>
          <w:sz w:val="24"/>
          <w:szCs w:val="24"/>
          <w:lang w:val="en-GB"/>
        </w:rPr>
        <w:t xml:space="preserve"> they have been treated</w:t>
      </w:r>
      <w:r w:rsidR="00A52788" w:rsidRPr="00100028">
        <w:rPr>
          <w:rFonts w:asciiTheme="majorBidi" w:hAnsiTheme="majorBidi" w:cstheme="majorBidi"/>
          <w:sz w:val="24"/>
          <w:szCs w:val="24"/>
          <w:lang w:val="en-GB"/>
        </w:rPr>
        <w:t xml:space="preserve"> by the authorities exercising p</w:t>
      </w:r>
      <w:r w:rsidR="00EB2BD5" w:rsidRPr="00100028">
        <w:rPr>
          <w:rFonts w:asciiTheme="majorBidi" w:hAnsiTheme="majorBidi" w:cstheme="majorBidi"/>
          <w:sz w:val="24"/>
          <w:szCs w:val="24"/>
          <w:lang w:val="en-GB"/>
        </w:rPr>
        <w:t>ower in the West Bank and Gaza</w:t>
      </w:r>
      <w:r w:rsidR="00A52788" w:rsidRPr="00100028">
        <w:rPr>
          <w:rFonts w:asciiTheme="majorBidi" w:hAnsiTheme="majorBidi" w:cstheme="majorBidi"/>
          <w:sz w:val="24"/>
          <w:szCs w:val="24"/>
          <w:lang w:val="en-GB"/>
        </w:rPr>
        <w:t xml:space="preserve"> as </w:t>
      </w:r>
      <w:r w:rsidR="0031031F" w:rsidRPr="00100028">
        <w:rPr>
          <w:rFonts w:asciiTheme="majorBidi" w:hAnsiTheme="majorBidi" w:cstheme="majorBidi"/>
          <w:sz w:val="24"/>
          <w:szCs w:val="24"/>
          <w:lang w:val="en-GB"/>
        </w:rPr>
        <w:t xml:space="preserve">de facto </w:t>
      </w:r>
      <w:r w:rsidR="00A52788" w:rsidRPr="00100028">
        <w:rPr>
          <w:rFonts w:asciiTheme="majorBidi" w:hAnsiTheme="majorBidi" w:cstheme="majorBidi"/>
          <w:sz w:val="24"/>
          <w:szCs w:val="24"/>
          <w:lang w:val="en-GB"/>
        </w:rPr>
        <w:t>equal to th</w:t>
      </w:r>
      <w:r w:rsidR="00EB2BD5" w:rsidRPr="00100028">
        <w:rPr>
          <w:rFonts w:asciiTheme="majorBidi" w:hAnsiTheme="majorBidi" w:cstheme="majorBidi"/>
          <w:sz w:val="24"/>
          <w:szCs w:val="24"/>
          <w:lang w:val="en-GB"/>
        </w:rPr>
        <w:t>e inhabitants (in terms of, for example</w:t>
      </w:r>
      <w:r w:rsidR="00A52788" w:rsidRPr="00100028">
        <w:rPr>
          <w:rFonts w:asciiTheme="majorBidi" w:hAnsiTheme="majorBidi" w:cstheme="majorBidi"/>
          <w:sz w:val="24"/>
          <w:szCs w:val="24"/>
          <w:lang w:val="en-GB"/>
        </w:rPr>
        <w:t>, residency, identity cards, passports, election, public employment), members of the group are registered by UN</w:t>
      </w:r>
      <w:r w:rsidR="00EB2BD5" w:rsidRPr="00100028">
        <w:rPr>
          <w:rFonts w:asciiTheme="majorBidi" w:hAnsiTheme="majorBidi" w:cstheme="majorBidi"/>
          <w:sz w:val="24"/>
          <w:szCs w:val="24"/>
          <w:lang w:val="en-GB"/>
        </w:rPr>
        <w:t>RWA as refugees. S</w:t>
      </w:r>
      <w:r w:rsidRPr="00100028">
        <w:rPr>
          <w:rFonts w:asciiTheme="majorBidi" w:hAnsiTheme="majorBidi" w:cstheme="majorBidi"/>
          <w:sz w:val="24"/>
          <w:szCs w:val="24"/>
          <w:lang w:val="en-GB"/>
        </w:rPr>
        <w:t>uch persons are at the same time</w:t>
      </w:r>
      <w:r w:rsidR="00A52788" w:rsidRPr="00100028">
        <w:rPr>
          <w:rFonts w:asciiTheme="majorBidi" w:hAnsiTheme="majorBidi" w:cstheme="majorBidi"/>
          <w:sz w:val="24"/>
          <w:szCs w:val="24"/>
          <w:lang w:val="en-GB"/>
        </w:rPr>
        <w:t xml:space="preserve"> </w:t>
      </w:r>
      <w:r w:rsidR="00EB2BD5" w:rsidRPr="00100028">
        <w:rPr>
          <w:rFonts w:asciiTheme="majorBidi" w:hAnsiTheme="majorBidi" w:cstheme="majorBidi"/>
          <w:sz w:val="24"/>
          <w:szCs w:val="24"/>
          <w:lang w:val="en-GB"/>
        </w:rPr>
        <w:t>citizens of the West Bank or Gaza</w:t>
      </w:r>
      <w:r w:rsidR="00A52788" w:rsidRPr="00100028">
        <w:rPr>
          <w:rFonts w:asciiTheme="majorBidi" w:hAnsiTheme="majorBidi" w:cstheme="majorBidi"/>
          <w:sz w:val="24"/>
          <w:szCs w:val="24"/>
          <w:lang w:val="en-GB"/>
        </w:rPr>
        <w:t xml:space="preserve"> and refugees.</w:t>
      </w:r>
      <w:r w:rsidR="00EB2BD5" w:rsidRPr="00100028">
        <w:rPr>
          <w:rFonts w:asciiTheme="majorBidi" w:hAnsiTheme="majorBidi" w:cstheme="majorBidi"/>
          <w:sz w:val="24"/>
          <w:szCs w:val="24"/>
          <w:lang w:val="en-GB"/>
        </w:rPr>
        <w:t xml:space="preserve"> As citizens</w:t>
      </w:r>
      <w:r w:rsidR="00A52788" w:rsidRPr="00100028">
        <w:rPr>
          <w:rFonts w:asciiTheme="majorBidi" w:hAnsiTheme="majorBidi" w:cstheme="majorBidi"/>
          <w:sz w:val="24"/>
          <w:szCs w:val="24"/>
          <w:lang w:val="en-GB"/>
        </w:rPr>
        <w:t>, they ha</w:t>
      </w:r>
      <w:r w:rsidRPr="00100028">
        <w:rPr>
          <w:rFonts w:asciiTheme="majorBidi" w:hAnsiTheme="majorBidi" w:cstheme="majorBidi"/>
          <w:sz w:val="24"/>
          <w:szCs w:val="24"/>
          <w:lang w:val="en-GB"/>
        </w:rPr>
        <w:t>ve a status akin to the native</w:t>
      </w:r>
      <w:r w:rsidR="00A52788" w:rsidRPr="00100028">
        <w:rPr>
          <w:rFonts w:asciiTheme="majorBidi" w:hAnsiTheme="majorBidi" w:cstheme="majorBidi"/>
          <w:sz w:val="24"/>
          <w:szCs w:val="24"/>
          <w:lang w:val="en-GB"/>
        </w:rPr>
        <w:t xml:space="preserve"> inhabitants of </w:t>
      </w:r>
      <w:r w:rsidR="0031031F" w:rsidRPr="00100028">
        <w:rPr>
          <w:rFonts w:asciiTheme="majorBidi" w:hAnsiTheme="majorBidi" w:cstheme="majorBidi"/>
          <w:sz w:val="24"/>
          <w:szCs w:val="24"/>
          <w:lang w:val="en-GB"/>
        </w:rPr>
        <w:t>these two areas</w:t>
      </w:r>
      <w:r w:rsidR="00A52788" w:rsidRPr="00100028">
        <w:rPr>
          <w:rFonts w:asciiTheme="majorBidi" w:hAnsiTheme="majorBidi" w:cstheme="majorBidi"/>
          <w:sz w:val="24"/>
          <w:szCs w:val="24"/>
          <w:lang w:val="en-GB"/>
        </w:rPr>
        <w:t>.</w:t>
      </w:r>
      <w:r w:rsidR="0031031F" w:rsidRPr="00100028">
        <w:rPr>
          <w:rStyle w:val="FootnoteReference"/>
          <w:rFonts w:asciiTheme="majorBidi" w:hAnsiTheme="majorBidi" w:cstheme="majorBidi"/>
          <w:sz w:val="24"/>
          <w:szCs w:val="24"/>
          <w:lang w:val="en-GB"/>
        </w:rPr>
        <w:footnoteReference w:id="204"/>
      </w:r>
      <w:r w:rsidR="00A52788" w:rsidRPr="00100028">
        <w:rPr>
          <w:rFonts w:asciiTheme="majorBidi" w:hAnsiTheme="majorBidi" w:cstheme="majorBidi"/>
          <w:sz w:val="24"/>
          <w:szCs w:val="24"/>
          <w:lang w:val="en-GB"/>
        </w:rPr>
        <w:t xml:space="preserve"> As refugees, they are entitled to the rights enjoyed by other refugees: UNRWA</w:t>
      </w:r>
      <w:r w:rsidR="00F130C3" w:rsidRPr="00100028">
        <w:rPr>
          <w:rFonts w:asciiTheme="majorBidi" w:hAnsiTheme="majorBidi" w:cstheme="majorBidi"/>
          <w:sz w:val="24"/>
          <w:szCs w:val="24"/>
          <w:lang w:val="en-GB"/>
        </w:rPr>
        <w:t>’</w:t>
      </w:r>
      <w:r w:rsidR="00A52788" w:rsidRPr="00100028">
        <w:rPr>
          <w:rFonts w:asciiTheme="majorBidi" w:hAnsiTheme="majorBidi" w:cstheme="majorBidi"/>
          <w:sz w:val="24"/>
          <w:szCs w:val="24"/>
          <w:lang w:val="en-GB"/>
        </w:rPr>
        <w:t>s protection, return to Israel, and compensation.</w:t>
      </w:r>
      <w:r w:rsidR="00FF2809" w:rsidRPr="00100028">
        <w:rPr>
          <w:rStyle w:val="FootnoteReference"/>
          <w:rFonts w:asciiTheme="majorBidi" w:hAnsiTheme="majorBidi" w:cstheme="majorBidi"/>
          <w:sz w:val="24"/>
          <w:szCs w:val="24"/>
          <w:lang w:val="en-GB"/>
        </w:rPr>
        <w:footnoteReference w:id="205"/>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Despite their integration into the local population, the members of this group should continue to be considered under international law as refugees for certain purposes, such as the right of return and being eligible for UNRWA</w:t>
      </w:r>
      <w:r w:rsidR="00F130C3" w:rsidRPr="00100028">
        <w:rPr>
          <w:rFonts w:asciiTheme="majorBidi" w:hAnsiTheme="majorBidi" w:cstheme="majorBidi"/>
          <w:sz w:val="24"/>
          <w:szCs w:val="24"/>
          <w:lang w:val="en-GB"/>
        </w:rPr>
        <w:t>’</w:t>
      </w:r>
      <w:r w:rsidRPr="00100028">
        <w:rPr>
          <w:rFonts w:asciiTheme="majorBidi" w:hAnsiTheme="majorBidi" w:cstheme="majorBidi"/>
          <w:sz w:val="24"/>
          <w:szCs w:val="24"/>
          <w:lang w:val="en-GB"/>
        </w:rPr>
        <w:t>s protection/assistance, and as dual citizens. These refugees are at the same time de facto</w:t>
      </w:r>
      <w:r w:rsidR="00EB2BD5" w:rsidRPr="00100028">
        <w:rPr>
          <w:rFonts w:asciiTheme="majorBidi" w:hAnsiTheme="majorBidi" w:cstheme="majorBidi"/>
          <w:sz w:val="24"/>
          <w:szCs w:val="24"/>
          <w:lang w:val="en-GB"/>
        </w:rPr>
        <w:t>, or</w:t>
      </w:r>
      <w:r w:rsidRPr="00100028">
        <w:rPr>
          <w:rFonts w:asciiTheme="majorBidi" w:hAnsiTheme="majorBidi" w:cstheme="majorBidi"/>
          <w:sz w:val="24"/>
          <w:szCs w:val="24"/>
          <w:lang w:val="en-GB"/>
        </w:rPr>
        <w:t xml:space="preserve"> ac</w:t>
      </w:r>
      <w:r w:rsidR="00EB2BD5" w:rsidRPr="00100028">
        <w:rPr>
          <w:rFonts w:asciiTheme="majorBidi" w:hAnsiTheme="majorBidi" w:cstheme="majorBidi"/>
          <w:sz w:val="24"/>
          <w:szCs w:val="24"/>
          <w:lang w:val="en-GB"/>
        </w:rPr>
        <w:t>cording to the local law, citizens of the territory, and citizens</w:t>
      </w:r>
      <w:r w:rsidRPr="00100028">
        <w:rPr>
          <w:rFonts w:asciiTheme="majorBidi" w:hAnsiTheme="majorBidi" w:cstheme="majorBidi"/>
          <w:sz w:val="24"/>
          <w:szCs w:val="24"/>
          <w:lang w:val="en-GB"/>
        </w:rPr>
        <w:t xml:space="preserve"> of Israel in the sense that they have a r</w:t>
      </w:r>
      <w:r w:rsidR="00EB2BD5" w:rsidRPr="00100028">
        <w:rPr>
          <w:rFonts w:asciiTheme="majorBidi" w:hAnsiTheme="majorBidi" w:cstheme="majorBidi"/>
          <w:sz w:val="24"/>
          <w:szCs w:val="24"/>
          <w:lang w:val="en-GB"/>
        </w:rPr>
        <w:t>ight to become citizens of Israel</w:t>
      </w:r>
      <w:r w:rsidRPr="00100028">
        <w:rPr>
          <w:rFonts w:asciiTheme="majorBidi" w:hAnsiTheme="majorBidi" w:cstheme="majorBidi"/>
          <w:sz w:val="24"/>
          <w:szCs w:val="24"/>
          <w:lang w:val="en-GB"/>
        </w:rPr>
        <w:t xml:space="preserve"> based on the law of </w:t>
      </w:r>
      <w:r w:rsidR="00FE2B16" w:rsidRPr="00100028">
        <w:rPr>
          <w:rFonts w:asciiTheme="majorBidi" w:hAnsiTheme="majorBidi" w:cstheme="majorBidi"/>
          <w:sz w:val="24"/>
          <w:szCs w:val="24"/>
          <w:lang w:val="en-GB"/>
        </w:rPr>
        <w:t>State</w:t>
      </w:r>
      <w:r w:rsidRPr="00100028">
        <w:rPr>
          <w:rFonts w:asciiTheme="majorBidi" w:hAnsiTheme="majorBidi" w:cstheme="majorBidi"/>
          <w:sz w:val="24"/>
          <w:szCs w:val="24"/>
          <w:lang w:val="en-GB"/>
        </w:rPr>
        <w:t xml:space="preserve"> succession and other branches of </w:t>
      </w:r>
      <w:r w:rsidRPr="00100028">
        <w:rPr>
          <w:rFonts w:asciiTheme="majorBidi" w:hAnsiTheme="majorBidi" w:cstheme="majorBidi"/>
          <w:sz w:val="24"/>
          <w:szCs w:val="24"/>
          <w:lang w:val="en-GB"/>
        </w:rPr>
        <w:lastRenderedPageBreak/>
        <w:t>interna</w:t>
      </w:r>
      <w:r w:rsidR="00EB2BD5" w:rsidRPr="00100028">
        <w:rPr>
          <w:rFonts w:asciiTheme="majorBidi" w:hAnsiTheme="majorBidi" w:cstheme="majorBidi"/>
          <w:sz w:val="24"/>
          <w:szCs w:val="24"/>
          <w:lang w:val="en-GB"/>
        </w:rPr>
        <w:t>tional law pertaining to the right of return</w:t>
      </w:r>
      <w:r w:rsidRPr="00100028">
        <w:rPr>
          <w:rFonts w:asciiTheme="majorBidi" w:hAnsiTheme="majorBidi" w:cstheme="majorBidi"/>
          <w:sz w:val="24"/>
          <w:szCs w:val="24"/>
          <w:lang w:val="en-GB"/>
        </w:rPr>
        <w:t>.</w:t>
      </w:r>
      <w:r w:rsidR="003A4F94" w:rsidRPr="00100028">
        <w:rPr>
          <w:rStyle w:val="FootnoteReference"/>
          <w:rFonts w:asciiTheme="majorBidi" w:hAnsiTheme="majorBidi" w:cstheme="majorBidi"/>
          <w:sz w:val="24"/>
          <w:szCs w:val="24"/>
          <w:lang w:val="en-GB"/>
        </w:rPr>
        <w:footnoteReference w:id="206"/>
      </w:r>
      <w:r w:rsidRPr="00100028">
        <w:rPr>
          <w:rFonts w:asciiTheme="majorBidi" w:hAnsiTheme="majorBidi" w:cstheme="majorBidi"/>
          <w:sz w:val="24"/>
          <w:szCs w:val="24"/>
          <w:lang w:val="en-GB"/>
        </w:rPr>
        <w:t xml:space="preserve"> </w:t>
      </w:r>
      <w:r w:rsidR="00EB2BD5" w:rsidRPr="00100028">
        <w:rPr>
          <w:rFonts w:asciiTheme="majorBidi" w:hAnsiTheme="majorBidi" w:cstheme="majorBidi"/>
          <w:sz w:val="24"/>
          <w:szCs w:val="24"/>
          <w:lang w:val="en-GB"/>
        </w:rPr>
        <w:t>Yet Israel refuses to grant refugees</w:t>
      </w:r>
      <w:r w:rsidRPr="00100028">
        <w:rPr>
          <w:rFonts w:asciiTheme="majorBidi" w:hAnsiTheme="majorBidi" w:cstheme="majorBidi"/>
          <w:sz w:val="24"/>
          <w:szCs w:val="24"/>
          <w:lang w:val="en-GB"/>
        </w:rPr>
        <w:t xml:space="preserve"> Israeli </w:t>
      </w:r>
      <w:r w:rsidR="003B4898" w:rsidRPr="00100028">
        <w:rPr>
          <w:rFonts w:asciiTheme="majorBidi" w:hAnsiTheme="majorBidi" w:cstheme="majorBidi"/>
          <w:sz w:val="24"/>
          <w:szCs w:val="24"/>
          <w:lang w:val="en-GB"/>
        </w:rPr>
        <w:t>citizenship</w:t>
      </w:r>
      <w:r w:rsidRPr="00100028">
        <w:rPr>
          <w:rFonts w:asciiTheme="majorBidi" w:hAnsiTheme="majorBidi" w:cstheme="majorBidi"/>
          <w:sz w:val="24"/>
          <w:szCs w:val="24"/>
          <w:lang w:val="en-GB"/>
        </w:rPr>
        <w:t xml:space="preserve"> or to let them return to their homes in its territory.</w:t>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In other words, this group has simultaneously three separate statuses:</w:t>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(1) Refugee status in accordance with international law and the practice of UNRWA;</w:t>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3A4F94"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(2) West Bank and Gaza</w:t>
      </w:r>
      <w:r w:rsidR="00A52788" w:rsidRPr="00100028">
        <w:rPr>
          <w:rFonts w:asciiTheme="majorBidi" w:hAnsiTheme="majorBidi" w:cstheme="majorBidi"/>
          <w:sz w:val="24"/>
          <w:szCs w:val="24"/>
          <w:lang w:val="en-GB"/>
        </w:rPr>
        <w:t xml:space="preserve"> citizenship </w:t>
      </w:r>
      <w:r w:rsidR="00926984" w:rsidRPr="00100028">
        <w:rPr>
          <w:rFonts w:asciiTheme="majorBidi" w:hAnsiTheme="majorBidi" w:cstheme="majorBidi"/>
          <w:sz w:val="24"/>
          <w:szCs w:val="24"/>
          <w:lang w:val="en-GB"/>
        </w:rPr>
        <w:t xml:space="preserve">(or citizenship of the State of Palestine) </w:t>
      </w:r>
      <w:r w:rsidR="00A52788" w:rsidRPr="00100028">
        <w:rPr>
          <w:rFonts w:asciiTheme="majorBidi" w:hAnsiTheme="majorBidi" w:cstheme="majorBidi"/>
          <w:sz w:val="24"/>
          <w:szCs w:val="24"/>
          <w:lang w:val="en-GB"/>
        </w:rPr>
        <w:t xml:space="preserve">in </w:t>
      </w:r>
      <w:r w:rsidR="000C18F4" w:rsidRPr="00100028">
        <w:rPr>
          <w:rFonts w:asciiTheme="majorBidi" w:hAnsiTheme="majorBidi" w:cstheme="majorBidi"/>
          <w:sz w:val="24"/>
          <w:szCs w:val="24"/>
          <w:lang w:val="en-GB"/>
        </w:rPr>
        <w:t xml:space="preserve">by virtue of </w:t>
      </w:r>
      <w:r w:rsidR="00A52788" w:rsidRPr="00100028">
        <w:rPr>
          <w:rFonts w:asciiTheme="majorBidi" w:hAnsiTheme="majorBidi" w:cstheme="majorBidi"/>
          <w:sz w:val="24"/>
          <w:szCs w:val="24"/>
          <w:lang w:val="en-GB"/>
        </w:rPr>
        <w:t>the applicable local law in the W</w:t>
      </w:r>
      <w:r w:rsidR="00EB2BD5" w:rsidRPr="00100028">
        <w:rPr>
          <w:rFonts w:asciiTheme="majorBidi" w:hAnsiTheme="majorBidi" w:cstheme="majorBidi"/>
          <w:sz w:val="24"/>
          <w:szCs w:val="24"/>
          <w:lang w:val="en-GB"/>
        </w:rPr>
        <w:t>est Bank, East Jerusalem</w:t>
      </w:r>
      <w:r w:rsidRPr="00100028">
        <w:rPr>
          <w:rFonts w:asciiTheme="majorBidi" w:hAnsiTheme="majorBidi" w:cstheme="majorBidi"/>
          <w:sz w:val="24"/>
          <w:szCs w:val="24"/>
          <w:lang w:val="en-GB"/>
        </w:rPr>
        <w:t>,</w:t>
      </w:r>
      <w:r w:rsidR="00EB2BD5" w:rsidRPr="00100028">
        <w:rPr>
          <w:rFonts w:asciiTheme="majorBidi" w:hAnsiTheme="majorBidi" w:cstheme="majorBidi"/>
          <w:sz w:val="24"/>
          <w:szCs w:val="24"/>
          <w:lang w:val="en-GB"/>
        </w:rPr>
        <w:t xml:space="preserve"> and Gaza</w:t>
      </w:r>
      <w:r w:rsidR="00A52788" w:rsidRPr="00100028">
        <w:rPr>
          <w:rFonts w:asciiTheme="majorBidi" w:hAnsiTheme="majorBidi" w:cstheme="majorBidi"/>
          <w:sz w:val="24"/>
          <w:szCs w:val="24"/>
          <w:lang w:val="en-GB"/>
        </w:rPr>
        <w:t>, and the practice of local authorities there</w:t>
      </w:r>
      <w:r w:rsidR="00EB2BD5" w:rsidRPr="00100028">
        <w:rPr>
          <w:rFonts w:asciiTheme="majorBidi" w:hAnsiTheme="majorBidi" w:cstheme="majorBidi"/>
          <w:sz w:val="24"/>
          <w:szCs w:val="24"/>
          <w:lang w:val="en-GB"/>
        </w:rPr>
        <w:t>in</w:t>
      </w:r>
      <w:r w:rsidR="00A52788" w:rsidRPr="00100028">
        <w:rPr>
          <w:rFonts w:asciiTheme="majorBidi" w:hAnsiTheme="majorBidi" w:cstheme="majorBidi"/>
          <w:sz w:val="24"/>
          <w:szCs w:val="24"/>
          <w:lang w:val="en-GB"/>
        </w:rPr>
        <w:t>;</w:t>
      </w:r>
    </w:p>
    <w:p w:rsidR="00A52788" w:rsidRPr="00100028" w:rsidRDefault="00A52788" w:rsidP="00100028">
      <w:pPr>
        <w:bidi w:val="0"/>
        <w:jc w:val="both"/>
        <w:rPr>
          <w:rFonts w:asciiTheme="majorBidi" w:hAnsiTheme="majorBidi" w:cstheme="majorBidi"/>
          <w:sz w:val="24"/>
          <w:szCs w:val="24"/>
          <w:lang w:val="en-GB"/>
        </w:rPr>
      </w:pPr>
    </w:p>
    <w:p w:rsidR="00A52788" w:rsidRPr="00100028" w:rsidRDefault="00A52788" w:rsidP="00100028">
      <w:pPr>
        <w:bidi w:val="0"/>
        <w:jc w:val="both"/>
        <w:rPr>
          <w:rFonts w:asciiTheme="majorBidi" w:hAnsiTheme="majorBidi" w:cstheme="majorBidi"/>
          <w:sz w:val="24"/>
          <w:szCs w:val="24"/>
          <w:lang w:val="en-GB" w:bidi="ar-SA"/>
        </w:rPr>
      </w:pPr>
      <w:r w:rsidRPr="00100028">
        <w:rPr>
          <w:rFonts w:asciiTheme="majorBidi" w:hAnsiTheme="majorBidi" w:cstheme="majorBidi"/>
          <w:sz w:val="24"/>
          <w:szCs w:val="24"/>
          <w:lang w:val="en-GB"/>
        </w:rPr>
        <w:t>(3) Israeli citizenship, although non-effective at present, based on international law.</w:t>
      </w:r>
    </w:p>
    <w:p w:rsidR="00A52788" w:rsidRPr="00100028" w:rsidRDefault="00A52788" w:rsidP="00100028">
      <w:pPr>
        <w:bidi w:val="0"/>
        <w:jc w:val="both"/>
        <w:rPr>
          <w:rFonts w:asciiTheme="majorBidi" w:hAnsiTheme="majorBidi" w:cstheme="majorBidi"/>
          <w:sz w:val="24"/>
          <w:szCs w:val="24"/>
          <w:lang w:val="en-GB"/>
        </w:rPr>
      </w:pPr>
    </w:p>
    <w:p w:rsidR="004974FA" w:rsidRPr="00100028" w:rsidRDefault="004974FA"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Under the citizenship</w:t>
      </w:r>
      <w:r w:rsidR="00A52788" w:rsidRPr="00100028">
        <w:rPr>
          <w:rFonts w:asciiTheme="majorBidi" w:hAnsiTheme="majorBidi" w:cstheme="majorBidi"/>
          <w:sz w:val="24"/>
          <w:szCs w:val="24"/>
          <w:lang w:val="en-GB"/>
        </w:rPr>
        <w:t xml:space="preserve"> law of the </w:t>
      </w:r>
      <w:r w:rsidR="00FE2B16" w:rsidRPr="00100028">
        <w:rPr>
          <w:rFonts w:asciiTheme="majorBidi" w:hAnsiTheme="majorBidi" w:cstheme="majorBidi"/>
          <w:sz w:val="24"/>
          <w:szCs w:val="24"/>
          <w:lang w:val="en-GB"/>
        </w:rPr>
        <w:t>State</w:t>
      </w:r>
      <w:r w:rsidR="00EB2BD5" w:rsidRPr="00100028">
        <w:rPr>
          <w:rFonts w:asciiTheme="majorBidi" w:hAnsiTheme="majorBidi" w:cstheme="majorBidi"/>
          <w:sz w:val="24"/>
          <w:szCs w:val="24"/>
          <w:lang w:val="en-GB"/>
        </w:rPr>
        <w:t xml:space="preserve"> of Palestine, this group should be eligible</w:t>
      </w:r>
      <w:r w:rsidR="00A52788" w:rsidRPr="00100028">
        <w:rPr>
          <w:rFonts w:asciiTheme="majorBidi" w:hAnsiTheme="majorBidi" w:cstheme="majorBidi"/>
          <w:sz w:val="24"/>
          <w:szCs w:val="24"/>
          <w:lang w:val="en-GB"/>
        </w:rPr>
        <w:t xml:space="preserve"> </w:t>
      </w:r>
      <w:r w:rsidR="00EB2BD5" w:rsidRPr="00100028">
        <w:rPr>
          <w:rFonts w:asciiTheme="majorBidi" w:hAnsiTheme="majorBidi" w:cstheme="majorBidi"/>
          <w:sz w:val="24"/>
          <w:szCs w:val="24"/>
          <w:lang w:val="en-GB"/>
        </w:rPr>
        <w:t>for the citizenship</w:t>
      </w:r>
      <w:r w:rsidR="00A52788" w:rsidRPr="00100028">
        <w:rPr>
          <w:rFonts w:asciiTheme="majorBidi" w:hAnsiTheme="majorBidi" w:cstheme="majorBidi"/>
          <w:sz w:val="24"/>
          <w:szCs w:val="24"/>
          <w:lang w:val="en-GB"/>
        </w:rPr>
        <w:t xml:space="preserve"> on the same basis as the West Bankers and Gazans.</w:t>
      </w:r>
      <w:r w:rsidRPr="00100028">
        <w:rPr>
          <w:rStyle w:val="FootnoteReference"/>
          <w:rFonts w:asciiTheme="majorBidi" w:hAnsiTheme="majorBidi" w:cstheme="majorBidi"/>
          <w:sz w:val="24"/>
          <w:szCs w:val="24"/>
          <w:lang w:val="en-GB"/>
        </w:rPr>
        <w:footnoteReference w:id="207"/>
      </w:r>
      <w:r w:rsidR="00A52788" w:rsidRPr="00100028">
        <w:rPr>
          <w:rFonts w:asciiTheme="majorBidi" w:hAnsiTheme="majorBidi" w:cstheme="majorBidi"/>
          <w:sz w:val="24"/>
          <w:szCs w:val="24"/>
          <w:lang w:val="en-GB"/>
        </w:rPr>
        <w:t xml:space="preserve"> However, the question</w:t>
      </w:r>
      <w:r w:rsidRPr="00100028">
        <w:rPr>
          <w:rFonts w:asciiTheme="majorBidi" w:hAnsiTheme="majorBidi" w:cstheme="majorBidi"/>
          <w:sz w:val="24"/>
          <w:szCs w:val="24"/>
          <w:lang w:val="en-GB"/>
        </w:rPr>
        <w:t xml:space="preserve"> of their refugee status should</w:t>
      </w:r>
      <w:r w:rsidR="003A4F94" w:rsidRPr="00100028">
        <w:rPr>
          <w:rFonts w:asciiTheme="majorBidi" w:hAnsiTheme="majorBidi" w:cstheme="majorBidi"/>
          <w:sz w:val="24"/>
          <w:szCs w:val="24"/>
          <w:lang w:val="en-GB"/>
        </w:rPr>
        <w:t xml:space="preserve"> continue to be raised.</w:t>
      </w:r>
      <w:r w:rsidR="00A52788" w:rsidRPr="00100028">
        <w:rPr>
          <w:rFonts w:asciiTheme="majorBidi" w:hAnsiTheme="majorBidi" w:cstheme="majorBidi"/>
          <w:sz w:val="24"/>
          <w:szCs w:val="24"/>
          <w:lang w:val="en-GB"/>
        </w:rPr>
        <w:t xml:space="preserve"> Palestine would, in one sense, serve</w:t>
      </w:r>
      <w:r w:rsidR="003A4F94" w:rsidRPr="00100028">
        <w:rPr>
          <w:rFonts w:asciiTheme="majorBidi" w:hAnsiTheme="majorBidi" w:cstheme="majorBidi"/>
          <w:sz w:val="24"/>
          <w:szCs w:val="24"/>
          <w:lang w:val="en-GB"/>
        </w:rPr>
        <w:t xml:space="preserve"> as a host State</w:t>
      </w:r>
      <w:r w:rsidR="00A52788" w:rsidRPr="00100028">
        <w:rPr>
          <w:rFonts w:asciiTheme="majorBidi" w:hAnsiTheme="majorBidi" w:cstheme="majorBidi"/>
          <w:sz w:val="24"/>
          <w:szCs w:val="24"/>
          <w:lang w:val="en-GB"/>
        </w:rPr>
        <w:t xml:space="preserve"> for these refugees </w:t>
      </w:r>
      <w:r w:rsidR="00012F22" w:rsidRPr="00100028">
        <w:rPr>
          <w:rFonts w:asciiTheme="majorBidi" w:hAnsiTheme="majorBidi" w:cstheme="majorBidi"/>
          <w:sz w:val="24"/>
          <w:szCs w:val="24"/>
          <w:lang w:val="en-GB"/>
        </w:rPr>
        <w:t xml:space="preserve">as the case </w:t>
      </w:r>
      <w:r w:rsidR="00A52788" w:rsidRPr="00100028">
        <w:rPr>
          <w:rFonts w:asciiTheme="majorBidi" w:hAnsiTheme="majorBidi" w:cstheme="majorBidi"/>
          <w:sz w:val="24"/>
          <w:szCs w:val="24"/>
          <w:lang w:val="en-GB"/>
        </w:rPr>
        <w:t>of other host countries</w:t>
      </w:r>
      <w:r w:rsidRPr="00100028">
        <w:rPr>
          <w:rFonts w:asciiTheme="majorBidi" w:hAnsiTheme="majorBidi" w:cstheme="majorBidi"/>
          <w:sz w:val="24"/>
          <w:szCs w:val="24"/>
          <w:lang w:val="en-GB"/>
        </w:rPr>
        <w:t>.</w:t>
      </w:r>
    </w:p>
    <w:p w:rsidR="004974FA" w:rsidRPr="00100028" w:rsidRDefault="004974FA" w:rsidP="00100028">
      <w:pPr>
        <w:bidi w:val="0"/>
        <w:jc w:val="both"/>
        <w:rPr>
          <w:rFonts w:asciiTheme="majorBidi" w:hAnsiTheme="majorBidi" w:cstheme="majorBidi"/>
          <w:sz w:val="24"/>
          <w:szCs w:val="24"/>
          <w:lang w:val="en-GB"/>
        </w:rPr>
      </w:pPr>
    </w:p>
    <w:p w:rsidR="00A52788" w:rsidRPr="00100028" w:rsidRDefault="004974FA" w:rsidP="00100028">
      <w:pPr>
        <w:bidi w:val="0"/>
        <w:jc w:val="both"/>
        <w:rPr>
          <w:rFonts w:asciiTheme="majorBidi" w:hAnsiTheme="majorBidi" w:cstheme="majorBidi"/>
          <w:sz w:val="24"/>
          <w:szCs w:val="24"/>
          <w:lang w:val="en-GB"/>
        </w:rPr>
      </w:pPr>
      <w:r w:rsidRPr="00100028">
        <w:rPr>
          <w:rFonts w:asciiTheme="majorBidi" w:hAnsiTheme="majorBidi" w:cstheme="majorBidi"/>
          <w:sz w:val="24"/>
          <w:szCs w:val="24"/>
          <w:lang w:val="en-GB"/>
        </w:rPr>
        <w:t>Some</w:t>
      </w:r>
      <w:r w:rsidR="00A52788" w:rsidRPr="00100028">
        <w:rPr>
          <w:rFonts w:asciiTheme="majorBidi" w:hAnsiTheme="majorBidi" w:cstheme="majorBidi"/>
          <w:sz w:val="24"/>
          <w:szCs w:val="24"/>
          <w:lang w:val="en-GB"/>
        </w:rPr>
        <w:t xml:space="preserve"> might fear that the refugee status of the group, should they</w:t>
      </w:r>
      <w:r w:rsidRPr="00100028">
        <w:rPr>
          <w:rFonts w:asciiTheme="majorBidi" w:hAnsiTheme="majorBidi" w:cstheme="majorBidi"/>
          <w:sz w:val="24"/>
          <w:szCs w:val="24"/>
          <w:lang w:val="en-GB"/>
        </w:rPr>
        <w:t xml:space="preserve"> acquire Palestinian citizenship</w:t>
      </w:r>
      <w:r w:rsidR="00A52788" w:rsidRPr="00100028">
        <w:rPr>
          <w:rFonts w:asciiTheme="majorBidi" w:hAnsiTheme="majorBidi" w:cstheme="majorBidi"/>
          <w:sz w:val="24"/>
          <w:szCs w:val="24"/>
          <w:lang w:val="en-GB"/>
        </w:rPr>
        <w:t>, would be eff</w:t>
      </w:r>
      <w:r w:rsidRPr="00100028">
        <w:rPr>
          <w:rFonts w:asciiTheme="majorBidi" w:hAnsiTheme="majorBidi" w:cstheme="majorBidi"/>
          <w:sz w:val="24"/>
          <w:szCs w:val="24"/>
          <w:lang w:val="en-GB"/>
        </w:rPr>
        <w:t>ectively ended. That is not accurate</w:t>
      </w:r>
      <w:r w:rsidR="00A52788" w:rsidRPr="00100028">
        <w:rPr>
          <w:rFonts w:asciiTheme="majorBidi" w:hAnsiTheme="majorBidi" w:cstheme="majorBidi"/>
          <w:sz w:val="24"/>
          <w:szCs w:val="24"/>
          <w:lang w:val="en-GB"/>
        </w:rPr>
        <w:t>. Under international law, their refugee status would persist. They would therefore continue to receive UNRWA aid and be entitled to claim the right of return.</w:t>
      </w:r>
      <w:r w:rsidR="00995C2B" w:rsidRPr="00100028">
        <w:rPr>
          <w:rStyle w:val="FootnoteReference"/>
          <w:rFonts w:asciiTheme="majorBidi" w:hAnsiTheme="majorBidi" w:cstheme="majorBidi"/>
          <w:sz w:val="24"/>
          <w:szCs w:val="24"/>
          <w:lang w:val="en-GB"/>
        </w:rPr>
        <w:footnoteReference w:id="208"/>
      </w:r>
      <w:r w:rsidR="00A52788" w:rsidRPr="00100028">
        <w:rPr>
          <w:rFonts w:asciiTheme="majorBidi" w:hAnsiTheme="majorBidi" w:cstheme="majorBidi"/>
          <w:sz w:val="24"/>
          <w:szCs w:val="24"/>
          <w:lang w:val="en-GB"/>
        </w:rPr>
        <w:t xml:space="preserve"> The </w:t>
      </w:r>
      <w:r w:rsidR="0003502E" w:rsidRPr="00100028">
        <w:rPr>
          <w:rFonts w:asciiTheme="majorBidi" w:hAnsiTheme="majorBidi" w:cstheme="majorBidi"/>
          <w:sz w:val="24"/>
          <w:szCs w:val="24"/>
          <w:lang w:val="en-GB"/>
        </w:rPr>
        <w:t>PLO</w:t>
      </w:r>
      <w:r w:rsidR="00A52788" w:rsidRPr="00100028">
        <w:rPr>
          <w:rFonts w:asciiTheme="majorBidi" w:hAnsiTheme="majorBidi" w:cstheme="majorBidi"/>
          <w:sz w:val="24"/>
          <w:szCs w:val="24"/>
          <w:lang w:val="en-GB"/>
        </w:rPr>
        <w:t xml:space="preserve"> ought to continue defending the rights of </w:t>
      </w:r>
      <w:r w:rsidRPr="00100028">
        <w:rPr>
          <w:rFonts w:asciiTheme="majorBidi" w:hAnsiTheme="majorBidi" w:cstheme="majorBidi"/>
          <w:sz w:val="24"/>
          <w:szCs w:val="24"/>
          <w:lang w:val="en-GB"/>
        </w:rPr>
        <w:t>these refugees in international</w:t>
      </w:r>
      <w:r w:rsidR="00A52788" w:rsidRPr="00100028">
        <w:rPr>
          <w:rFonts w:asciiTheme="majorBidi" w:hAnsiTheme="majorBidi" w:cstheme="majorBidi"/>
          <w:sz w:val="24"/>
          <w:szCs w:val="24"/>
          <w:lang w:val="en-GB"/>
        </w:rPr>
        <w:t xml:space="preserve"> for</w:t>
      </w:r>
      <w:r w:rsidRPr="00100028">
        <w:rPr>
          <w:rFonts w:asciiTheme="majorBidi" w:hAnsiTheme="majorBidi" w:cstheme="majorBidi"/>
          <w:sz w:val="24"/>
          <w:szCs w:val="24"/>
          <w:lang w:val="en-GB"/>
        </w:rPr>
        <w:t>ums</w:t>
      </w:r>
      <w:r w:rsidR="001C2559" w:rsidRPr="00100028">
        <w:rPr>
          <w:rFonts w:asciiTheme="majorBidi" w:hAnsiTheme="majorBidi" w:cstheme="majorBidi"/>
          <w:sz w:val="24"/>
          <w:szCs w:val="24"/>
          <w:lang w:val="en-GB"/>
        </w:rPr>
        <w:t xml:space="preserve"> in its capacity as the representative of the pre-1948 Palestinian people</w:t>
      </w:r>
      <w:r w:rsidRPr="00100028">
        <w:rPr>
          <w:rFonts w:asciiTheme="majorBidi" w:hAnsiTheme="majorBidi" w:cstheme="majorBidi"/>
          <w:sz w:val="24"/>
          <w:szCs w:val="24"/>
          <w:lang w:val="en-GB"/>
        </w:rPr>
        <w:t>.</w:t>
      </w:r>
      <w:r w:rsidR="001C2559" w:rsidRPr="00100028">
        <w:rPr>
          <w:rStyle w:val="FootnoteReference"/>
          <w:rFonts w:asciiTheme="majorBidi" w:hAnsiTheme="majorBidi" w:cstheme="majorBidi"/>
          <w:sz w:val="24"/>
          <w:szCs w:val="24"/>
          <w:lang w:val="en-GB"/>
        </w:rPr>
        <w:footnoteReference w:id="209"/>
      </w:r>
      <w:r w:rsidRPr="00100028">
        <w:rPr>
          <w:rFonts w:asciiTheme="majorBidi" w:hAnsiTheme="majorBidi" w:cstheme="majorBidi"/>
          <w:sz w:val="24"/>
          <w:szCs w:val="24"/>
          <w:lang w:val="en-GB"/>
        </w:rPr>
        <w:t xml:space="preserve"> The granting of citizenship</w:t>
      </w:r>
      <w:r w:rsidR="00C958F7" w:rsidRPr="00100028">
        <w:rPr>
          <w:rFonts w:asciiTheme="majorBidi" w:hAnsiTheme="majorBidi" w:cstheme="majorBidi"/>
          <w:sz w:val="24"/>
          <w:szCs w:val="24"/>
          <w:lang w:val="en-GB"/>
        </w:rPr>
        <w:t xml:space="preserve"> to this group would</w:t>
      </w:r>
      <w:r w:rsidR="00A52788" w:rsidRPr="00100028">
        <w:rPr>
          <w:rFonts w:asciiTheme="majorBidi" w:hAnsiTheme="majorBidi" w:cstheme="majorBidi"/>
          <w:sz w:val="24"/>
          <w:szCs w:val="24"/>
          <w:lang w:val="en-GB"/>
        </w:rPr>
        <w:t xml:space="preserve"> in no way, from a legal perspective, undermine their status. Israel would continue to oppose their return, regardless of whether the gr</w:t>
      </w:r>
      <w:r w:rsidRPr="00100028">
        <w:rPr>
          <w:rFonts w:asciiTheme="majorBidi" w:hAnsiTheme="majorBidi" w:cstheme="majorBidi"/>
          <w:sz w:val="24"/>
          <w:szCs w:val="24"/>
          <w:lang w:val="en-GB"/>
        </w:rPr>
        <w:t>oup acquired other citizenship</w:t>
      </w:r>
      <w:r w:rsidR="00C958F7" w:rsidRPr="00100028">
        <w:rPr>
          <w:rFonts w:asciiTheme="majorBidi" w:hAnsiTheme="majorBidi" w:cstheme="majorBidi"/>
          <w:sz w:val="24"/>
          <w:szCs w:val="24"/>
          <w:lang w:val="en-GB"/>
        </w:rPr>
        <w:t>(s)</w:t>
      </w:r>
      <w:r w:rsidR="00A52788" w:rsidRPr="00100028">
        <w:rPr>
          <w:rFonts w:asciiTheme="majorBidi" w:hAnsiTheme="majorBidi" w:cstheme="majorBidi"/>
          <w:sz w:val="24"/>
          <w:szCs w:val="24"/>
          <w:lang w:val="en-GB"/>
        </w:rPr>
        <w:t xml:space="preserve"> or not. Thus, th</w:t>
      </w:r>
      <w:r w:rsidRPr="00100028">
        <w:rPr>
          <w:rFonts w:asciiTheme="majorBidi" w:hAnsiTheme="majorBidi" w:cstheme="majorBidi"/>
          <w:sz w:val="24"/>
          <w:szCs w:val="24"/>
          <w:lang w:val="en-GB"/>
        </w:rPr>
        <w:t>e acquisition of the citizenship</w:t>
      </w:r>
      <w:r w:rsidR="00A52788" w:rsidRPr="00100028">
        <w:rPr>
          <w:rFonts w:asciiTheme="majorBidi" w:hAnsiTheme="majorBidi" w:cstheme="majorBidi"/>
          <w:sz w:val="24"/>
          <w:szCs w:val="24"/>
          <w:lang w:val="en-GB"/>
        </w:rPr>
        <w:t xml:space="preserve"> of the </w:t>
      </w:r>
      <w:r w:rsidR="00FE2B16" w:rsidRPr="00100028">
        <w:rPr>
          <w:rFonts w:asciiTheme="majorBidi" w:hAnsiTheme="majorBidi" w:cstheme="majorBidi"/>
          <w:sz w:val="24"/>
          <w:szCs w:val="24"/>
          <w:lang w:val="en-GB"/>
        </w:rPr>
        <w:t>State</w:t>
      </w:r>
      <w:r w:rsidR="00A52788" w:rsidRPr="00100028">
        <w:rPr>
          <w:rFonts w:asciiTheme="majorBidi" w:hAnsiTheme="majorBidi" w:cstheme="majorBidi"/>
          <w:sz w:val="24"/>
          <w:szCs w:val="24"/>
          <w:lang w:val="en-GB"/>
        </w:rPr>
        <w:t xml:space="preserve"> of Palestine would not per se be a reason for ending the group</w:t>
      </w:r>
      <w:r w:rsidR="00F130C3" w:rsidRPr="00100028">
        <w:rPr>
          <w:rFonts w:asciiTheme="majorBidi" w:hAnsiTheme="majorBidi" w:cstheme="majorBidi"/>
          <w:sz w:val="24"/>
          <w:szCs w:val="24"/>
          <w:lang w:val="en-GB"/>
        </w:rPr>
        <w:t>’</w:t>
      </w:r>
      <w:r w:rsidR="00A52788" w:rsidRPr="00100028">
        <w:rPr>
          <w:rFonts w:asciiTheme="majorBidi" w:hAnsiTheme="majorBidi" w:cstheme="majorBidi"/>
          <w:sz w:val="24"/>
          <w:szCs w:val="24"/>
          <w:lang w:val="en-GB"/>
        </w:rPr>
        <w:t>s refugee status. Indeed, most Palestinian refu</w:t>
      </w:r>
      <w:r w:rsidRPr="00100028">
        <w:rPr>
          <w:rFonts w:asciiTheme="majorBidi" w:hAnsiTheme="majorBidi" w:cstheme="majorBidi"/>
          <w:sz w:val="24"/>
          <w:szCs w:val="24"/>
          <w:lang w:val="en-GB"/>
        </w:rPr>
        <w:t>gees have acquired citizenships</w:t>
      </w:r>
      <w:r w:rsidR="00A52788" w:rsidRPr="00100028">
        <w:rPr>
          <w:rFonts w:asciiTheme="majorBidi" w:hAnsiTheme="majorBidi" w:cstheme="majorBidi"/>
          <w:sz w:val="24"/>
          <w:szCs w:val="24"/>
          <w:lang w:val="en-GB"/>
        </w:rPr>
        <w:t xml:space="preserve"> of other </w:t>
      </w:r>
      <w:r w:rsidR="00FE2B16" w:rsidRPr="00100028">
        <w:rPr>
          <w:rFonts w:asciiTheme="majorBidi" w:hAnsiTheme="majorBidi" w:cstheme="majorBidi"/>
          <w:sz w:val="24"/>
          <w:szCs w:val="24"/>
          <w:lang w:val="en-GB"/>
        </w:rPr>
        <w:t>State</w:t>
      </w:r>
      <w:r w:rsidR="00A52788" w:rsidRPr="00100028">
        <w:rPr>
          <w:rFonts w:asciiTheme="majorBidi" w:hAnsiTheme="majorBidi" w:cstheme="majorBidi"/>
          <w:sz w:val="24"/>
          <w:szCs w:val="24"/>
          <w:lang w:val="en-GB"/>
        </w:rPr>
        <w:t>s (with the exception of the refugees in Lebanon and Syria) and these naturalized persons, in the eyes of international l</w:t>
      </w:r>
      <w:r w:rsidRPr="00100028">
        <w:rPr>
          <w:rFonts w:asciiTheme="majorBidi" w:hAnsiTheme="majorBidi" w:cstheme="majorBidi"/>
          <w:sz w:val="24"/>
          <w:szCs w:val="24"/>
          <w:lang w:val="en-GB"/>
        </w:rPr>
        <w:t>aw, are still refugees. T</w:t>
      </w:r>
      <w:r w:rsidR="00A52788" w:rsidRPr="00100028">
        <w:rPr>
          <w:rFonts w:asciiTheme="majorBidi" w:hAnsiTheme="majorBidi" w:cstheme="majorBidi"/>
          <w:sz w:val="24"/>
          <w:szCs w:val="24"/>
          <w:lang w:val="en-GB"/>
        </w:rPr>
        <w:t>heir right of return is still on the international agenda and UNRWA</w:t>
      </w:r>
      <w:r w:rsidR="00F130C3" w:rsidRPr="00100028">
        <w:rPr>
          <w:rFonts w:asciiTheme="majorBidi" w:hAnsiTheme="majorBidi" w:cstheme="majorBidi"/>
          <w:sz w:val="24"/>
          <w:szCs w:val="24"/>
          <w:lang w:val="en-GB"/>
        </w:rPr>
        <w:t>’</w:t>
      </w:r>
      <w:r w:rsidR="00A52788" w:rsidRPr="00100028">
        <w:rPr>
          <w:rFonts w:asciiTheme="majorBidi" w:hAnsiTheme="majorBidi" w:cstheme="majorBidi"/>
          <w:sz w:val="24"/>
          <w:szCs w:val="24"/>
          <w:lang w:val="en-GB"/>
        </w:rPr>
        <w:t>s assistance is still in place—fo</w:t>
      </w:r>
      <w:r w:rsidR="00DF3999" w:rsidRPr="00100028">
        <w:rPr>
          <w:rFonts w:asciiTheme="majorBidi" w:hAnsiTheme="majorBidi" w:cstheme="majorBidi"/>
          <w:sz w:val="24"/>
          <w:szCs w:val="24"/>
          <w:lang w:val="en-GB"/>
        </w:rPr>
        <w:t>r example, in Jordan</w:t>
      </w:r>
      <w:r w:rsidR="00A52788" w:rsidRPr="00100028">
        <w:rPr>
          <w:rFonts w:asciiTheme="majorBidi" w:hAnsiTheme="majorBidi" w:cstheme="majorBidi"/>
          <w:sz w:val="24"/>
          <w:szCs w:val="24"/>
          <w:lang w:val="en-GB"/>
        </w:rPr>
        <w:t xml:space="preserve"> refugees are assisted by UNRWA despi</w:t>
      </w:r>
      <w:r w:rsidRPr="00100028">
        <w:rPr>
          <w:rFonts w:asciiTheme="majorBidi" w:hAnsiTheme="majorBidi" w:cstheme="majorBidi"/>
          <w:sz w:val="24"/>
          <w:szCs w:val="24"/>
          <w:lang w:val="en-GB"/>
        </w:rPr>
        <w:t>te holding Jordanian citizenship</w:t>
      </w:r>
      <w:r w:rsidR="00A52788" w:rsidRPr="00100028">
        <w:rPr>
          <w:rFonts w:asciiTheme="majorBidi" w:hAnsiTheme="majorBidi" w:cstheme="majorBidi"/>
          <w:sz w:val="24"/>
          <w:szCs w:val="24"/>
          <w:lang w:val="en-GB"/>
        </w:rPr>
        <w:t>.</w:t>
      </w:r>
      <w:r w:rsidR="00DF3999" w:rsidRPr="00100028">
        <w:rPr>
          <w:rStyle w:val="FootnoteReference"/>
          <w:rFonts w:asciiTheme="majorBidi" w:hAnsiTheme="majorBidi" w:cstheme="majorBidi"/>
          <w:sz w:val="24"/>
          <w:szCs w:val="24"/>
          <w:lang w:val="en-GB"/>
        </w:rPr>
        <w:footnoteReference w:id="210"/>
      </w:r>
    </w:p>
    <w:p w:rsidR="006F04D2" w:rsidRPr="00100028" w:rsidRDefault="006F04D2" w:rsidP="00100028">
      <w:pPr>
        <w:bidi w:val="0"/>
        <w:jc w:val="both"/>
        <w:rPr>
          <w:rFonts w:asciiTheme="majorBidi" w:hAnsiTheme="majorBidi" w:cstheme="majorBidi"/>
          <w:b/>
          <w:bCs/>
          <w:sz w:val="24"/>
          <w:szCs w:val="24"/>
          <w:lang w:val="en-GB"/>
        </w:rPr>
      </w:pPr>
    </w:p>
    <w:p w:rsidR="00AF21D0" w:rsidRDefault="001F4FF2" w:rsidP="00AB5D12">
      <w:pPr>
        <w:bidi w:val="0"/>
        <w:jc w:val="both"/>
        <w:rPr>
          <w:rFonts w:asciiTheme="majorBidi" w:hAnsiTheme="majorBidi" w:cstheme="majorBidi"/>
          <w:b/>
          <w:bCs/>
          <w:sz w:val="24"/>
          <w:szCs w:val="24"/>
          <w:lang w:val="en-GB"/>
        </w:rPr>
      </w:pPr>
      <w:r w:rsidRPr="00100028">
        <w:rPr>
          <w:rFonts w:asciiTheme="majorBidi" w:hAnsiTheme="majorBidi" w:cstheme="majorBidi"/>
          <w:b/>
          <w:bCs/>
          <w:sz w:val="24"/>
          <w:szCs w:val="24"/>
          <w:lang w:val="en-GB"/>
        </w:rPr>
        <w:t>Conclusion</w:t>
      </w:r>
    </w:p>
    <w:p w:rsidR="00C146B7" w:rsidRDefault="00C146B7" w:rsidP="00C146B7">
      <w:pPr>
        <w:bidi w:val="0"/>
        <w:jc w:val="both"/>
        <w:rPr>
          <w:rFonts w:asciiTheme="majorBidi" w:hAnsiTheme="majorBidi" w:cstheme="majorBidi"/>
          <w:b/>
          <w:bCs/>
          <w:sz w:val="24"/>
          <w:szCs w:val="24"/>
          <w:lang w:val="en-GB"/>
        </w:rPr>
      </w:pPr>
    </w:p>
    <w:p w:rsidR="00FA44FE" w:rsidRDefault="00C146B7" w:rsidP="00FA44FE">
      <w:pPr>
        <w:bidi w:val="0"/>
        <w:jc w:val="both"/>
        <w:rPr>
          <w:rFonts w:asciiTheme="majorBidi" w:hAnsiTheme="majorBidi" w:cstheme="majorBidi"/>
          <w:sz w:val="24"/>
          <w:szCs w:val="24"/>
          <w:lang w:val="en-GB"/>
        </w:rPr>
      </w:pPr>
      <w:r w:rsidRPr="00FA44FE">
        <w:rPr>
          <w:rFonts w:asciiTheme="majorBidi" w:hAnsiTheme="majorBidi" w:cstheme="majorBidi"/>
          <w:sz w:val="24"/>
          <w:szCs w:val="24"/>
          <w:lang w:val="en-GB"/>
        </w:rPr>
        <w:t xml:space="preserve">The State of Palestine </w:t>
      </w:r>
      <w:r w:rsidR="00A7663B">
        <w:rPr>
          <w:rFonts w:asciiTheme="majorBidi" w:hAnsiTheme="majorBidi" w:cstheme="majorBidi"/>
          <w:sz w:val="24"/>
          <w:szCs w:val="24"/>
          <w:lang w:val="en-GB"/>
        </w:rPr>
        <w:t xml:space="preserve">as recognized by the United Nations General Assembly on 29 November 2012 </w:t>
      </w:r>
      <w:r w:rsidRPr="00FA44FE">
        <w:rPr>
          <w:rFonts w:asciiTheme="majorBidi" w:hAnsiTheme="majorBidi" w:cstheme="majorBidi"/>
          <w:sz w:val="24"/>
          <w:szCs w:val="24"/>
          <w:lang w:val="en-GB"/>
        </w:rPr>
        <w:t>is</w:t>
      </w:r>
      <w:r w:rsidR="00FA44FE" w:rsidRPr="00FA44FE">
        <w:rPr>
          <w:rFonts w:asciiTheme="majorBidi" w:hAnsiTheme="majorBidi" w:cstheme="majorBidi"/>
          <w:sz w:val="24"/>
          <w:szCs w:val="24"/>
          <w:lang w:val="en-GB"/>
        </w:rPr>
        <w:t xml:space="preserve"> obliged, under international law, to confer its citizenship to all </w:t>
      </w:r>
      <w:r w:rsidR="00FA44FE">
        <w:rPr>
          <w:rFonts w:asciiTheme="majorBidi" w:hAnsiTheme="majorBidi" w:cstheme="majorBidi"/>
          <w:sz w:val="24"/>
          <w:szCs w:val="24"/>
          <w:lang w:val="en-GB"/>
        </w:rPr>
        <w:t xml:space="preserve">natives of </w:t>
      </w:r>
      <w:r w:rsidR="00FA44FE" w:rsidRPr="00FA44FE">
        <w:rPr>
          <w:rFonts w:asciiTheme="majorBidi" w:hAnsiTheme="majorBidi" w:cstheme="majorBidi"/>
          <w:sz w:val="24"/>
          <w:szCs w:val="24"/>
          <w:lang w:val="en-GB"/>
        </w:rPr>
        <w:t>its territory (the West Bank and Gaza Strip)</w:t>
      </w:r>
      <w:r w:rsidR="00FA44FE">
        <w:rPr>
          <w:rFonts w:asciiTheme="majorBidi" w:hAnsiTheme="majorBidi" w:cstheme="majorBidi"/>
          <w:sz w:val="24"/>
          <w:szCs w:val="24"/>
          <w:lang w:val="en-GB"/>
        </w:rPr>
        <w:t>.</w:t>
      </w:r>
      <w:r w:rsidR="00FA44FE" w:rsidRPr="00FA44FE">
        <w:rPr>
          <w:rFonts w:asciiTheme="majorBidi" w:hAnsiTheme="majorBidi" w:cstheme="majorBidi"/>
          <w:sz w:val="24"/>
          <w:szCs w:val="24"/>
          <w:lang w:val="en-GB"/>
        </w:rPr>
        <w:t xml:space="preserve"> </w:t>
      </w:r>
      <w:r w:rsidR="00FA44FE">
        <w:rPr>
          <w:rFonts w:asciiTheme="majorBidi" w:hAnsiTheme="majorBidi" w:cstheme="majorBidi"/>
          <w:sz w:val="24"/>
          <w:szCs w:val="24"/>
          <w:lang w:val="en-GB"/>
        </w:rPr>
        <w:t xml:space="preserve">The starting day </w:t>
      </w:r>
      <w:r w:rsidR="00A7663B">
        <w:rPr>
          <w:rFonts w:asciiTheme="majorBidi" w:hAnsiTheme="majorBidi" w:cstheme="majorBidi"/>
          <w:sz w:val="24"/>
          <w:szCs w:val="24"/>
          <w:lang w:val="en-GB"/>
        </w:rPr>
        <w:t>for these natives who would be</w:t>
      </w:r>
      <w:r w:rsidR="004E46D9">
        <w:rPr>
          <w:rFonts w:asciiTheme="majorBidi" w:hAnsiTheme="majorBidi" w:cstheme="majorBidi"/>
          <w:sz w:val="24"/>
          <w:szCs w:val="24"/>
          <w:lang w:val="en-GB"/>
        </w:rPr>
        <w:t xml:space="preserve"> eligible</w:t>
      </w:r>
      <w:r w:rsidR="00FA44FE">
        <w:rPr>
          <w:rFonts w:asciiTheme="majorBidi" w:hAnsiTheme="majorBidi" w:cstheme="majorBidi"/>
          <w:sz w:val="24"/>
          <w:szCs w:val="24"/>
          <w:lang w:val="en-GB"/>
        </w:rPr>
        <w:t xml:space="preserve"> for Palestinian citizenship is </w:t>
      </w:r>
      <w:r w:rsidR="00A7663B">
        <w:rPr>
          <w:rFonts w:asciiTheme="majorBidi" w:hAnsiTheme="majorBidi" w:cstheme="majorBidi"/>
          <w:sz w:val="24"/>
          <w:szCs w:val="24"/>
          <w:lang w:val="en-GB"/>
        </w:rPr>
        <w:t xml:space="preserve">the </w:t>
      </w:r>
      <w:r w:rsidR="00FA44FE">
        <w:rPr>
          <w:rFonts w:asciiTheme="majorBidi" w:hAnsiTheme="majorBidi" w:cstheme="majorBidi"/>
          <w:sz w:val="24"/>
          <w:szCs w:val="24"/>
          <w:lang w:val="en-GB"/>
        </w:rPr>
        <w:t xml:space="preserve">date of succession of the West Bank and Gaza from the mandated-territory </w:t>
      </w:r>
      <w:r w:rsidR="00A7663B">
        <w:rPr>
          <w:rFonts w:asciiTheme="majorBidi" w:hAnsiTheme="majorBidi" w:cstheme="majorBidi"/>
          <w:sz w:val="24"/>
          <w:szCs w:val="24"/>
          <w:lang w:val="en-GB"/>
        </w:rPr>
        <w:t>of Palestine, namely 15 May 1948</w:t>
      </w:r>
      <w:r w:rsidR="00FA44FE">
        <w:rPr>
          <w:rFonts w:asciiTheme="majorBidi" w:hAnsiTheme="majorBidi" w:cstheme="majorBidi"/>
          <w:sz w:val="24"/>
          <w:szCs w:val="24"/>
          <w:lang w:val="en-GB"/>
        </w:rPr>
        <w:t xml:space="preserve">. Individuals </w:t>
      </w:r>
      <w:r w:rsidR="00A7663B">
        <w:rPr>
          <w:rFonts w:asciiTheme="majorBidi" w:hAnsiTheme="majorBidi" w:cstheme="majorBidi"/>
          <w:sz w:val="24"/>
          <w:szCs w:val="24"/>
          <w:lang w:val="en-GB"/>
        </w:rPr>
        <w:t xml:space="preserve">who </w:t>
      </w:r>
      <w:r w:rsidR="00FA44FE">
        <w:rPr>
          <w:rFonts w:asciiTheme="majorBidi" w:hAnsiTheme="majorBidi" w:cstheme="majorBidi"/>
          <w:sz w:val="24"/>
          <w:szCs w:val="24"/>
          <w:lang w:val="en-GB"/>
        </w:rPr>
        <w:t xml:space="preserve">acquired the status of permanent </w:t>
      </w:r>
      <w:r w:rsidR="00A7663B">
        <w:rPr>
          <w:rFonts w:asciiTheme="majorBidi" w:hAnsiTheme="majorBidi" w:cstheme="majorBidi"/>
          <w:sz w:val="24"/>
          <w:szCs w:val="24"/>
          <w:lang w:val="en-GB"/>
        </w:rPr>
        <w:t>residents</w:t>
      </w:r>
      <w:r w:rsidR="00FA44FE">
        <w:rPr>
          <w:rFonts w:asciiTheme="majorBidi" w:hAnsiTheme="majorBidi" w:cstheme="majorBidi"/>
          <w:sz w:val="24"/>
          <w:szCs w:val="24"/>
          <w:lang w:val="en-GB"/>
        </w:rPr>
        <w:t xml:space="preserve"> in Pales</w:t>
      </w:r>
      <w:r w:rsidR="004E46D9">
        <w:rPr>
          <w:rFonts w:asciiTheme="majorBidi" w:hAnsiTheme="majorBidi" w:cstheme="majorBidi"/>
          <w:sz w:val="24"/>
          <w:szCs w:val="24"/>
          <w:lang w:val="en-GB"/>
        </w:rPr>
        <w:t>tine</w:t>
      </w:r>
      <w:r w:rsidR="004E46D9" w:rsidRPr="00100028">
        <w:rPr>
          <w:rFonts w:asciiTheme="majorBidi" w:hAnsiTheme="majorBidi" w:cstheme="majorBidi"/>
          <w:sz w:val="24"/>
          <w:szCs w:val="24"/>
          <w:lang w:val="en-GB"/>
        </w:rPr>
        <w:t>’</w:t>
      </w:r>
      <w:r w:rsidR="00A7663B">
        <w:rPr>
          <w:rFonts w:asciiTheme="majorBidi" w:hAnsiTheme="majorBidi" w:cstheme="majorBidi"/>
          <w:sz w:val="24"/>
          <w:szCs w:val="24"/>
          <w:lang w:val="en-GB"/>
        </w:rPr>
        <w:t xml:space="preserve">s </w:t>
      </w:r>
      <w:r w:rsidR="00A7663B">
        <w:rPr>
          <w:rFonts w:asciiTheme="majorBidi" w:hAnsiTheme="majorBidi" w:cstheme="majorBidi"/>
          <w:sz w:val="24"/>
          <w:szCs w:val="24"/>
          <w:lang w:val="en-GB"/>
        </w:rPr>
        <w:lastRenderedPageBreak/>
        <w:t>territory since then</w:t>
      </w:r>
      <w:r w:rsidR="004E46D9">
        <w:rPr>
          <w:rFonts w:asciiTheme="majorBidi" w:hAnsiTheme="majorBidi" w:cstheme="majorBidi"/>
          <w:sz w:val="24"/>
          <w:szCs w:val="24"/>
          <w:lang w:val="en-GB"/>
        </w:rPr>
        <w:t>, regardless of the</w:t>
      </w:r>
      <w:r w:rsidR="00FA44FE">
        <w:rPr>
          <w:rFonts w:asciiTheme="majorBidi" w:hAnsiTheme="majorBidi" w:cstheme="majorBidi"/>
          <w:sz w:val="24"/>
          <w:szCs w:val="24"/>
          <w:lang w:val="en-GB"/>
        </w:rPr>
        <w:t xml:space="preserve"> acquisition </w:t>
      </w:r>
      <w:r w:rsidR="004E46D9">
        <w:rPr>
          <w:rFonts w:asciiTheme="majorBidi" w:hAnsiTheme="majorBidi" w:cstheme="majorBidi"/>
          <w:sz w:val="24"/>
          <w:szCs w:val="24"/>
          <w:lang w:val="en-GB"/>
        </w:rPr>
        <w:t xml:space="preserve">mode </w:t>
      </w:r>
      <w:r w:rsidR="00FA44FE">
        <w:rPr>
          <w:rFonts w:asciiTheme="majorBidi" w:hAnsiTheme="majorBidi" w:cstheme="majorBidi"/>
          <w:sz w:val="24"/>
          <w:szCs w:val="24"/>
          <w:lang w:val="en-GB"/>
        </w:rPr>
        <w:t xml:space="preserve">of that status, would qualify for Palestinian citizenship today. That status might </w:t>
      </w:r>
      <w:r w:rsidR="00A7663B">
        <w:rPr>
          <w:rFonts w:asciiTheme="majorBidi" w:hAnsiTheme="majorBidi" w:cstheme="majorBidi"/>
          <w:sz w:val="24"/>
          <w:szCs w:val="24"/>
          <w:lang w:val="en-GB"/>
        </w:rPr>
        <w:t xml:space="preserve">have </w:t>
      </w:r>
      <w:r w:rsidR="00FA44FE">
        <w:rPr>
          <w:rFonts w:asciiTheme="majorBidi" w:hAnsiTheme="majorBidi" w:cstheme="majorBidi"/>
          <w:sz w:val="24"/>
          <w:szCs w:val="24"/>
          <w:lang w:val="en-GB"/>
        </w:rPr>
        <w:t>be</w:t>
      </w:r>
      <w:r w:rsidR="00A7663B">
        <w:rPr>
          <w:rFonts w:asciiTheme="majorBidi" w:hAnsiTheme="majorBidi" w:cstheme="majorBidi"/>
          <w:sz w:val="24"/>
          <w:szCs w:val="24"/>
          <w:lang w:val="en-GB"/>
        </w:rPr>
        <w:t>en</w:t>
      </w:r>
      <w:r w:rsidR="00FA44FE">
        <w:rPr>
          <w:rFonts w:asciiTheme="majorBidi" w:hAnsiTheme="majorBidi" w:cstheme="majorBidi"/>
          <w:sz w:val="24"/>
          <w:szCs w:val="24"/>
          <w:lang w:val="en-GB"/>
        </w:rPr>
        <w:t xml:space="preserve"> conferred</w:t>
      </w:r>
      <w:r w:rsidR="00A7663B">
        <w:rPr>
          <w:rFonts w:asciiTheme="majorBidi" w:hAnsiTheme="majorBidi" w:cstheme="majorBidi"/>
          <w:sz w:val="24"/>
          <w:szCs w:val="24"/>
          <w:lang w:val="en-GB"/>
        </w:rPr>
        <w:t xml:space="preserve"> by any authority that exercised juridical</w:t>
      </w:r>
      <w:r w:rsidR="00FA44FE">
        <w:rPr>
          <w:rFonts w:asciiTheme="majorBidi" w:hAnsiTheme="majorBidi" w:cstheme="majorBidi"/>
          <w:sz w:val="24"/>
          <w:szCs w:val="24"/>
          <w:lang w:val="en-GB"/>
        </w:rPr>
        <w:t xml:space="preserve"> power in the West Bank and Gaza, including Jordan, Egypt, Israel, and the Palestinian Authority. The State of Palestine can regulate its citizenship based on this </w:t>
      </w:r>
      <w:r w:rsidR="00A7663B">
        <w:rPr>
          <w:rFonts w:asciiTheme="majorBidi" w:hAnsiTheme="majorBidi" w:cstheme="majorBidi"/>
          <w:sz w:val="24"/>
          <w:szCs w:val="24"/>
          <w:lang w:val="en-GB"/>
        </w:rPr>
        <w:t xml:space="preserve">general </w:t>
      </w:r>
      <w:r w:rsidR="00FA44FE">
        <w:rPr>
          <w:rFonts w:asciiTheme="majorBidi" w:hAnsiTheme="majorBidi" w:cstheme="majorBidi"/>
          <w:sz w:val="24"/>
          <w:szCs w:val="24"/>
          <w:lang w:val="en-GB"/>
        </w:rPr>
        <w:t xml:space="preserve">principle </w:t>
      </w:r>
      <w:r w:rsidR="004E46D9">
        <w:rPr>
          <w:rFonts w:asciiTheme="majorBidi" w:hAnsiTheme="majorBidi" w:cstheme="majorBidi"/>
          <w:sz w:val="24"/>
          <w:szCs w:val="24"/>
          <w:lang w:val="en-GB"/>
        </w:rPr>
        <w:t>by</w:t>
      </w:r>
      <w:r w:rsidR="00FA44FE">
        <w:rPr>
          <w:rFonts w:asciiTheme="majorBidi" w:hAnsiTheme="majorBidi" w:cstheme="majorBidi"/>
          <w:sz w:val="24"/>
          <w:szCs w:val="24"/>
          <w:lang w:val="en-GB"/>
        </w:rPr>
        <w:t xml:space="preserve"> enacting a law to that effect.</w:t>
      </w:r>
    </w:p>
    <w:p w:rsidR="00FA44FE" w:rsidRDefault="00FA44FE" w:rsidP="00FA44FE">
      <w:pPr>
        <w:bidi w:val="0"/>
        <w:jc w:val="both"/>
        <w:rPr>
          <w:rFonts w:asciiTheme="majorBidi" w:hAnsiTheme="majorBidi" w:cstheme="majorBidi"/>
          <w:sz w:val="24"/>
          <w:szCs w:val="24"/>
          <w:lang w:val="en-GB"/>
        </w:rPr>
      </w:pPr>
    </w:p>
    <w:p w:rsidR="00A7663B" w:rsidRDefault="00A7663B" w:rsidP="003E1884">
      <w:pPr>
        <w:bidi w:val="0"/>
        <w:jc w:val="both"/>
        <w:rPr>
          <w:rFonts w:asciiTheme="majorBidi" w:hAnsiTheme="majorBidi" w:cstheme="majorBidi"/>
          <w:sz w:val="24"/>
          <w:szCs w:val="24"/>
          <w:lang w:val="en-GB"/>
        </w:rPr>
      </w:pPr>
      <w:r>
        <w:rPr>
          <w:rFonts w:asciiTheme="majorBidi" w:hAnsiTheme="majorBidi" w:cstheme="majorBidi"/>
          <w:sz w:val="24"/>
          <w:szCs w:val="24"/>
          <w:lang w:val="en-GB"/>
        </w:rPr>
        <w:t>Nonetheless</w:t>
      </w:r>
      <w:r w:rsidR="00FA44FE">
        <w:rPr>
          <w:rFonts w:asciiTheme="majorBidi" w:hAnsiTheme="majorBidi" w:cstheme="majorBidi"/>
          <w:sz w:val="24"/>
          <w:szCs w:val="24"/>
          <w:lang w:val="en-GB"/>
        </w:rPr>
        <w:t xml:space="preserve">, the </w:t>
      </w:r>
      <w:r w:rsidR="004E46D9">
        <w:rPr>
          <w:rFonts w:asciiTheme="majorBidi" w:hAnsiTheme="majorBidi" w:cstheme="majorBidi"/>
          <w:sz w:val="24"/>
          <w:szCs w:val="24"/>
          <w:lang w:val="en-GB"/>
        </w:rPr>
        <w:t xml:space="preserve">legal </w:t>
      </w:r>
      <w:r w:rsidR="00FA44FE">
        <w:rPr>
          <w:rFonts w:asciiTheme="majorBidi" w:hAnsiTheme="majorBidi" w:cstheme="majorBidi"/>
          <w:sz w:val="24"/>
          <w:szCs w:val="24"/>
          <w:lang w:val="en-GB"/>
        </w:rPr>
        <w:t>regulation of Palestinian citi</w:t>
      </w:r>
      <w:r w:rsidR="004E46D9">
        <w:rPr>
          <w:rFonts w:asciiTheme="majorBidi" w:hAnsiTheme="majorBidi" w:cstheme="majorBidi"/>
          <w:sz w:val="24"/>
          <w:szCs w:val="24"/>
          <w:lang w:val="en-GB"/>
        </w:rPr>
        <w:t>zenship would not be an easy or a</w:t>
      </w:r>
      <w:r>
        <w:rPr>
          <w:rFonts w:asciiTheme="majorBidi" w:hAnsiTheme="majorBidi" w:cstheme="majorBidi"/>
          <w:sz w:val="24"/>
          <w:szCs w:val="24"/>
          <w:lang w:val="en-GB"/>
        </w:rPr>
        <w:t xml:space="preserve"> merely</w:t>
      </w:r>
      <w:r w:rsidR="004E46D9">
        <w:rPr>
          <w:rFonts w:asciiTheme="majorBidi" w:hAnsiTheme="majorBidi" w:cstheme="majorBidi"/>
          <w:sz w:val="24"/>
          <w:szCs w:val="24"/>
          <w:lang w:val="en-GB"/>
        </w:rPr>
        <w:t xml:space="preserve"> </w:t>
      </w:r>
      <w:r w:rsidR="00FA44FE">
        <w:rPr>
          <w:rFonts w:asciiTheme="majorBidi" w:hAnsiTheme="majorBidi" w:cstheme="majorBidi"/>
          <w:sz w:val="24"/>
          <w:szCs w:val="24"/>
          <w:lang w:val="en-GB"/>
        </w:rPr>
        <w:t xml:space="preserve">technical matter. </w:t>
      </w:r>
      <w:r w:rsidR="004263CE">
        <w:rPr>
          <w:rFonts w:asciiTheme="majorBidi" w:hAnsiTheme="majorBidi" w:cstheme="majorBidi"/>
          <w:sz w:val="24"/>
          <w:szCs w:val="24"/>
          <w:lang w:val="en-GB"/>
        </w:rPr>
        <w:t>Various groups of individuals who belong to the West Bank or Gaza</w:t>
      </w:r>
      <w:r w:rsidR="00C130B8">
        <w:rPr>
          <w:rFonts w:asciiTheme="majorBidi" w:hAnsiTheme="majorBidi" w:cstheme="majorBidi"/>
          <w:sz w:val="24"/>
          <w:szCs w:val="24"/>
          <w:lang w:val="en-GB"/>
        </w:rPr>
        <w:t xml:space="preserve"> by one way or another might be </w:t>
      </w:r>
      <w:r w:rsidR="004263CE">
        <w:rPr>
          <w:rFonts w:asciiTheme="majorBidi" w:hAnsiTheme="majorBidi" w:cstheme="majorBidi"/>
          <w:sz w:val="24"/>
          <w:szCs w:val="24"/>
          <w:lang w:val="en-GB"/>
        </w:rPr>
        <w:t>in a position to claim such a citizenship. Two groups would have clear-cut</w:t>
      </w:r>
      <w:r w:rsidR="00C130B8">
        <w:rPr>
          <w:rFonts w:asciiTheme="majorBidi" w:hAnsiTheme="majorBidi" w:cstheme="majorBidi"/>
          <w:sz w:val="24"/>
          <w:szCs w:val="24"/>
          <w:lang w:val="en-GB"/>
        </w:rPr>
        <w:t xml:space="preserve"> lin</w:t>
      </w:r>
      <w:r w:rsidR="004E46D9">
        <w:rPr>
          <w:rFonts w:asciiTheme="majorBidi" w:hAnsiTheme="majorBidi" w:cstheme="majorBidi"/>
          <w:sz w:val="24"/>
          <w:szCs w:val="24"/>
          <w:lang w:val="en-GB"/>
        </w:rPr>
        <w:t>k to</w:t>
      </w:r>
      <w:r w:rsidR="00C130B8">
        <w:rPr>
          <w:rFonts w:asciiTheme="majorBidi" w:hAnsiTheme="majorBidi" w:cstheme="majorBidi"/>
          <w:sz w:val="24"/>
          <w:szCs w:val="24"/>
          <w:lang w:val="en-GB"/>
        </w:rPr>
        <w:t xml:space="preserve"> the territory and can acquire</w:t>
      </w:r>
      <w:r w:rsidR="004263CE">
        <w:rPr>
          <w:rFonts w:asciiTheme="majorBidi" w:hAnsiTheme="majorBidi" w:cstheme="majorBidi"/>
          <w:sz w:val="24"/>
          <w:szCs w:val="24"/>
          <w:lang w:val="en-GB"/>
        </w:rPr>
        <w:t xml:space="preserve"> an </w:t>
      </w:r>
      <w:r w:rsidR="004E46D9" w:rsidRPr="004E46D9">
        <w:rPr>
          <w:rFonts w:asciiTheme="majorBidi" w:hAnsiTheme="majorBidi" w:cstheme="majorBidi"/>
          <w:i/>
          <w:iCs/>
          <w:sz w:val="24"/>
          <w:szCs w:val="24"/>
          <w:lang w:val="en-GB"/>
        </w:rPr>
        <w:t>ipso facto</w:t>
      </w:r>
      <w:r w:rsidR="004263CE">
        <w:rPr>
          <w:rFonts w:asciiTheme="majorBidi" w:hAnsiTheme="majorBidi" w:cstheme="majorBidi"/>
          <w:sz w:val="24"/>
          <w:szCs w:val="24"/>
          <w:lang w:val="en-GB"/>
        </w:rPr>
        <w:t xml:space="preserve"> Pales</w:t>
      </w:r>
      <w:r w:rsidR="00C130B8">
        <w:rPr>
          <w:rFonts w:asciiTheme="majorBidi" w:hAnsiTheme="majorBidi" w:cstheme="majorBidi"/>
          <w:sz w:val="24"/>
          <w:szCs w:val="24"/>
          <w:lang w:val="en-GB"/>
        </w:rPr>
        <w:t>tinian citizenship, namely those</w:t>
      </w:r>
      <w:r w:rsidR="004263CE">
        <w:rPr>
          <w:rFonts w:asciiTheme="majorBidi" w:hAnsiTheme="majorBidi" w:cstheme="majorBidi"/>
          <w:sz w:val="24"/>
          <w:szCs w:val="24"/>
          <w:lang w:val="en-GB"/>
        </w:rPr>
        <w:t xml:space="preserve"> originated from the West Bank or Gaza since the separation of Palestine from the Ottoman Empire when Palestinian citizenship</w:t>
      </w:r>
      <w:r w:rsidR="00C130B8">
        <w:rPr>
          <w:rFonts w:asciiTheme="majorBidi" w:hAnsiTheme="majorBidi" w:cstheme="majorBidi"/>
          <w:sz w:val="24"/>
          <w:szCs w:val="24"/>
          <w:lang w:val="en-GB"/>
        </w:rPr>
        <w:t xml:space="preserve"> was first regulated in 1</w:t>
      </w:r>
      <w:r w:rsidR="004263CE">
        <w:rPr>
          <w:rFonts w:asciiTheme="majorBidi" w:hAnsiTheme="majorBidi" w:cstheme="majorBidi"/>
          <w:sz w:val="24"/>
          <w:szCs w:val="24"/>
          <w:lang w:val="en-GB"/>
        </w:rPr>
        <w:t>925 and who are still resi</w:t>
      </w:r>
      <w:r w:rsidR="004E46D9">
        <w:rPr>
          <w:rFonts w:asciiTheme="majorBidi" w:hAnsiTheme="majorBidi" w:cstheme="majorBidi"/>
          <w:sz w:val="24"/>
          <w:szCs w:val="24"/>
          <w:lang w:val="en-GB"/>
        </w:rPr>
        <w:t>ding in one of these two areas</w:t>
      </w:r>
      <w:r w:rsidR="004263CE">
        <w:rPr>
          <w:rFonts w:asciiTheme="majorBidi" w:hAnsiTheme="majorBidi" w:cstheme="majorBidi"/>
          <w:sz w:val="24"/>
          <w:szCs w:val="24"/>
          <w:lang w:val="en-GB"/>
        </w:rPr>
        <w:t>.</w:t>
      </w:r>
    </w:p>
    <w:p w:rsidR="00A7663B" w:rsidRDefault="00A7663B" w:rsidP="00A7663B">
      <w:pPr>
        <w:bidi w:val="0"/>
        <w:jc w:val="both"/>
        <w:rPr>
          <w:rFonts w:asciiTheme="majorBidi" w:hAnsiTheme="majorBidi" w:cstheme="majorBidi"/>
          <w:sz w:val="24"/>
          <w:szCs w:val="24"/>
          <w:lang w:val="en-GB"/>
        </w:rPr>
      </w:pPr>
    </w:p>
    <w:p w:rsidR="00C146B7" w:rsidRPr="00FA44FE" w:rsidRDefault="00C130B8" w:rsidP="004E46D9">
      <w:pPr>
        <w:bidi w:val="0"/>
        <w:jc w:val="both"/>
        <w:rPr>
          <w:rFonts w:asciiTheme="majorBidi" w:hAnsiTheme="majorBidi" w:cstheme="majorBidi"/>
          <w:sz w:val="24"/>
          <w:szCs w:val="24"/>
          <w:lang w:val="en-GB"/>
        </w:rPr>
      </w:pPr>
      <w:r>
        <w:rPr>
          <w:rFonts w:asciiTheme="majorBidi" w:hAnsiTheme="majorBidi" w:cstheme="majorBidi"/>
          <w:sz w:val="24"/>
          <w:szCs w:val="24"/>
          <w:lang w:val="en-GB"/>
        </w:rPr>
        <w:t>The status of other groups who relate</w:t>
      </w:r>
      <w:r w:rsidR="004263CE">
        <w:rPr>
          <w:rFonts w:asciiTheme="majorBidi" w:hAnsiTheme="majorBidi" w:cstheme="majorBidi"/>
          <w:sz w:val="24"/>
          <w:szCs w:val="24"/>
          <w:lang w:val="en-GB"/>
        </w:rPr>
        <w:t xml:space="preserve"> </w:t>
      </w:r>
      <w:r>
        <w:rPr>
          <w:rFonts w:asciiTheme="majorBidi" w:hAnsiTheme="majorBidi" w:cstheme="majorBidi"/>
          <w:sz w:val="24"/>
          <w:szCs w:val="24"/>
          <w:lang w:val="en-GB"/>
        </w:rPr>
        <w:t>to the State of Palestine</w:t>
      </w:r>
      <w:r w:rsidR="004263CE">
        <w:rPr>
          <w:rFonts w:asciiTheme="majorBidi" w:hAnsiTheme="majorBidi" w:cstheme="majorBidi"/>
          <w:sz w:val="24"/>
          <w:szCs w:val="24"/>
          <w:lang w:val="en-GB"/>
        </w:rPr>
        <w:t xml:space="preserve"> need</w:t>
      </w:r>
      <w:r>
        <w:rPr>
          <w:rFonts w:asciiTheme="majorBidi" w:hAnsiTheme="majorBidi" w:cstheme="majorBidi"/>
          <w:sz w:val="24"/>
          <w:szCs w:val="24"/>
          <w:lang w:val="en-GB"/>
        </w:rPr>
        <w:t>s</w:t>
      </w:r>
      <w:r w:rsidR="004263CE">
        <w:rPr>
          <w:rFonts w:asciiTheme="majorBidi" w:hAnsiTheme="majorBidi" w:cstheme="majorBidi"/>
          <w:sz w:val="24"/>
          <w:szCs w:val="24"/>
          <w:lang w:val="en-GB"/>
        </w:rPr>
        <w:t xml:space="preserve"> </w:t>
      </w:r>
      <w:r w:rsidR="004E46D9">
        <w:rPr>
          <w:rFonts w:asciiTheme="majorBidi" w:hAnsiTheme="majorBidi" w:cstheme="majorBidi"/>
          <w:sz w:val="24"/>
          <w:szCs w:val="24"/>
          <w:lang w:val="en-GB"/>
        </w:rPr>
        <w:t xml:space="preserve">to be </w:t>
      </w:r>
      <w:r w:rsidR="004263CE">
        <w:rPr>
          <w:rFonts w:asciiTheme="majorBidi" w:hAnsiTheme="majorBidi" w:cstheme="majorBidi"/>
          <w:sz w:val="24"/>
          <w:szCs w:val="24"/>
          <w:lang w:val="en-GB"/>
        </w:rPr>
        <w:t>care</w:t>
      </w:r>
      <w:r>
        <w:rPr>
          <w:rFonts w:asciiTheme="majorBidi" w:hAnsiTheme="majorBidi" w:cstheme="majorBidi"/>
          <w:sz w:val="24"/>
          <w:szCs w:val="24"/>
          <w:lang w:val="en-GB"/>
        </w:rPr>
        <w:t>ful</w:t>
      </w:r>
      <w:r w:rsidR="004E46D9">
        <w:rPr>
          <w:rFonts w:asciiTheme="majorBidi" w:hAnsiTheme="majorBidi" w:cstheme="majorBidi"/>
          <w:sz w:val="24"/>
          <w:szCs w:val="24"/>
          <w:lang w:val="en-GB"/>
        </w:rPr>
        <w:t>ly annualized</w:t>
      </w:r>
      <w:r>
        <w:rPr>
          <w:rFonts w:asciiTheme="majorBidi" w:hAnsiTheme="majorBidi" w:cstheme="majorBidi"/>
          <w:sz w:val="24"/>
          <w:szCs w:val="24"/>
          <w:lang w:val="en-GB"/>
        </w:rPr>
        <w:t xml:space="preserve"> before acquiring</w:t>
      </w:r>
      <w:r w:rsidR="004263CE">
        <w:rPr>
          <w:rFonts w:asciiTheme="majorBidi" w:hAnsiTheme="majorBidi" w:cstheme="majorBidi"/>
          <w:sz w:val="24"/>
          <w:szCs w:val="24"/>
          <w:lang w:val="en-GB"/>
        </w:rPr>
        <w:t xml:space="preserve"> </w:t>
      </w:r>
      <w:r>
        <w:rPr>
          <w:rFonts w:asciiTheme="majorBidi" w:hAnsiTheme="majorBidi" w:cstheme="majorBidi"/>
          <w:sz w:val="24"/>
          <w:szCs w:val="24"/>
          <w:lang w:val="en-GB"/>
        </w:rPr>
        <w:t>Palestinian citizenship</w:t>
      </w:r>
      <w:r w:rsidR="004263CE">
        <w:rPr>
          <w:rFonts w:asciiTheme="majorBidi" w:hAnsiTheme="majorBidi" w:cstheme="majorBidi"/>
          <w:sz w:val="24"/>
          <w:szCs w:val="24"/>
          <w:lang w:val="en-GB"/>
        </w:rPr>
        <w:t xml:space="preserve">. These are </w:t>
      </w:r>
      <w:r w:rsidR="00A7663B">
        <w:rPr>
          <w:rFonts w:asciiTheme="majorBidi" w:hAnsiTheme="majorBidi" w:cstheme="majorBidi"/>
          <w:sz w:val="24"/>
          <w:szCs w:val="24"/>
          <w:lang w:val="en-GB"/>
        </w:rPr>
        <w:t xml:space="preserve">the </w:t>
      </w:r>
      <w:r w:rsidR="004263CE">
        <w:rPr>
          <w:rFonts w:asciiTheme="majorBidi" w:hAnsiTheme="majorBidi" w:cstheme="majorBidi"/>
          <w:sz w:val="24"/>
          <w:szCs w:val="24"/>
          <w:lang w:val="en-GB"/>
        </w:rPr>
        <w:t>inhabitant</w:t>
      </w:r>
      <w:r>
        <w:rPr>
          <w:rFonts w:asciiTheme="majorBidi" w:hAnsiTheme="majorBidi" w:cstheme="majorBidi"/>
          <w:sz w:val="24"/>
          <w:szCs w:val="24"/>
          <w:lang w:val="en-GB"/>
        </w:rPr>
        <w:t>s of East Jerusalem,</w:t>
      </w:r>
      <w:r w:rsidR="004263CE">
        <w:rPr>
          <w:rFonts w:asciiTheme="majorBidi" w:hAnsiTheme="majorBidi" w:cstheme="majorBidi"/>
          <w:sz w:val="24"/>
          <w:szCs w:val="24"/>
          <w:lang w:val="en-GB"/>
        </w:rPr>
        <w:t xml:space="preserve"> refugees who </w:t>
      </w:r>
      <w:r w:rsidR="004E46D9">
        <w:rPr>
          <w:rFonts w:asciiTheme="majorBidi" w:hAnsiTheme="majorBidi" w:cstheme="majorBidi"/>
          <w:sz w:val="24"/>
          <w:szCs w:val="24"/>
          <w:lang w:val="en-GB"/>
        </w:rPr>
        <w:t>expelled</w:t>
      </w:r>
      <w:r w:rsidR="004263CE">
        <w:rPr>
          <w:rFonts w:asciiTheme="majorBidi" w:hAnsiTheme="majorBidi" w:cstheme="majorBidi"/>
          <w:sz w:val="24"/>
          <w:szCs w:val="24"/>
          <w:lang w:val="en-GB"/>
        </w:rPr>
        <w:t xml:space="preserve"> from the territory of Israel since 1948 and settled in the West Bank or Gaza, West Bankers or Gazans who lost their </w:t>
      </w:r>
      <w:r>
        <w:rPr>
          <w:rFonts w:asciiTheme="majorBidi" w:hAnsiTheme="majorBidi" w:cstheme="majorBidi"/>
          <w:sz w:val="24"/>
          <w:szCs w:val="24"/>
          <w:lang w:val="en-GB"/>
        </w:rPr>
        <w:t>residence in these two areas</w:t>
      </w:r>
      <w:r w:rsidR="004263CE">
        <w:rPr>
          <w:rFonts w:asciiTheme="majorBidi" w:hAnsiTheme="majorBidi" w:cstheme="majorBidi"/>
          <w:sz w:val="24"/>
          <w:szCs w:val="24"/>
          <w:lang w:val="en-GB"/>
        </w:rPr>
        <w:t xml:space="preserve"> at any point since 1925 and were pre</w:t>
      </w:r>
      <w:r w:rsidR="00A7663B">
        <w:rPr>
          <w:rFonts w:asciiTheme="majorBidi" w:hAnsiTheme="majorBidi" w:cstheme="majorBidi"/>
          <w:sz w:val="24"/>
          <w:szCs w:val="24"/>
          <w:lang w:val="en-GB"/>
        </w:rPr>
        <w:t>vented</w:t>
      </w:r>
      <w:r w:rsidR="004263CE">
        <w:rPr>
          <w:rFonts w:asciiTheme="majorBidi" w:hAnsiTheme="majorBidi" w:cstheme="majorBidi"/>
          <w:sz w:val="24"/>
          <w:szCs w:val="24"/>
          <w:lang w:val="en-GB"/>
        </w:rPr>
        <w:t xml:space="preserve"> by Britain </w:t>
      </w:r>
      <w:r w:rsidR="003E1884">
        <w:rPr>
          <w:rFonts w:asciiTheme="majorBidi" w:hAnsiTheme="majorBidi" w:cstheme="majorBidi"/>
          <w:sz w:val="24"/>
          <w:szCs w:val="24"/>
          <w:lang w:val="en-GB"/>
        </w:rPr>
        <w:t>(1917-1948)</w:t>
      </w:r>
      <w:r w:rsidR="004263CE">
        <w:rPr>
          <w:rFonts w:asciiTheme="majorBidi" w:hAnsiTheme="majorBidi" w:cstheme="majorBidi"/>
          <w:sz w:val="24"/>
          <w:szCs w:val="24"/>
          <w:lang w:val="en-GB"/>
        </w:rPr>
        <w:t xml:space="preserve"> </w:t>
      </w:r>
      <w:r w:rsidR="003E1884">
        <w:rPr>
          <w:rFonts w:asciiTheme="majorBidi" w:hAnsiTheme="majorBidi" w:cstheme="majorBidi"/>
          <w:sz w:val="24"/>
          <w:szCs w:val="24"/>
          <w:lang w:val="en-GB"/>
        </w:rPr>
        <w:t xml:space="preserve">or </w:t>
      </w:r>
      <w:r w:rsidR="004263CE">
        <w:rPr>
          <w:rFonts w:asciiTheme="majorBidi" w:hAnsiTheme="majorBidi" w:cstheme="majorBidi"/>
          <w:sz w:val="24"/>
          <w:szCs w:val="24"/>
          <w:lang w:val="en-GB"/>
        </w:rPr>
        <w:t xml:space="preserve">by Israel </w:t>
      </w:r>
      <w:r w:rsidR="003E1884">
        <w:rPr>
          <w:rFonts w:asciiTheme="majorBidi" w:hAnsiTheme="majorBidi" w:cstheme="majorBidi"/>
          <w:sz w:val="24"/>
          <w:szCs w:val="24"/>
          <w:lang w:val="en-GB"/>
        </w:rPr>
        <w:t xml:space="preserve">(since 1967) </w:t>
      </w:r>
      <w:r w:rsidR="004263CE">
        <w:rPr>
          <w:rFonts w:asciiTheme="majorBidi" w:hAnsiTheme="majorBidi" w:cstheme="majorBidi"/>
          <w:sz w:val="24"/>
          <w:szCs w:val="24"/>
          <w:lang w:val="en-GB"/>
        </w:rPr>
        <w:t>to return,</w:t>
      </w:r>
      <w:r w:rsidR="003E1884">
        <w:rPr>
          <w:rFonts w:asciiTheme="majorBidi" w:hAnsiTheme="majorBidi" w:cstheme="majorBidi"/>
          <w:sz w:val="24"/>
          <w:szCs w:val="24"/>
          <w:lang w:val="en-GB"/>
        </w:rPr>
        <w:t xml:space="preserve"> and </w:t>
      </w:r>
      <w:r w:rsidR="00A7663B">
        <w:rPr>
          <w:rFonts w:asciiTheme="majorBidi" w:hAnsiTheme="majorBidi" w:cstheme="majorBidi"/>
          <w:sz w:val="24"/>
          <w:szCs w:val="24"/>
          <w:lang w:val="en-GB"/>
        </w:rPr>
        <w:t xml:space="preserve">Jewish-Palestinian natives of the West Bank or Gaza who lost their </w:t>
      </w:r>
      <w:r w:rsidR="00E57834">
        <w:rPr>
          <w:rFonts w:asciiTheme="majorBidi" w:hAnsiTheme="majorBidi" w:cstheme="majorBidi"/>
          <w:sz w:val="24"/>
          <w:szCs w:val="24"/>
          <w:lang w:val="en-GB"/>
        </w:rPr>
        <w:t>residence</w:t>
      </w:r>
      <w:r w:rsidR="00A7663B">
        <w:rPr>
          <w:rFonts w:asciiTheme="majorBidi" w:hAnsiTheme="majorBidi" w:cstheme="majorBidi"/>
          <w:sz w:val="24"/>
          <w:szCs w:val="24"/>
          <w:lang w:val="en-GB"/>
        </w:rPr>
        <w:t xml:space="preserve"> therein since 1948. This paper tried </w:t>
      </w:r>
      <w:r>
        <w:rPr>
          <w:rFonts w:asciiTheme="majorBidi" w:hAnsiTheme="majorBidi" w:cstheme="majorBidi"/>
          <w:sz w:val="24"/>
          <w:szCs w:val="24"/>
          <w:lang w:val="en-GB"/>
        </w:rPr>
        <w:t xml:space="preserve">to </w:t>
      </w:r>
      <w:r w:rsidR="00A7663B">
        <w:rPr>
          <w:rFonts w:asciiTheme="majorBidi" w:hAnsiTheme="majorBidi" w:cstheme="majorBidi"/>
          <w:sz w:val="24"/>
          <w:szCs w:val="24"/>
          <w:lang w:val="en-GB"/>
        </w:rPr>
        <w:t>shed light on the status of these various groups for citizenship-conferring purposes in the State of Palestine.</w:t>
      </w:r>
    </w:p>
    <w:sectPr w:rsidR="00C146B7" w:rsidRPr="00FA44FE" w:rsidSect="00D33CD5">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19" w:rsidRDefault="008C4A19" w:rsidP="00DF1667">
      <w:r>
        <w:separator/>
      </w:r>
    </w:p>
  </w:endnote>
  <w:endnote w:type="continuationSeparator" w:id="0">
    <w:p w:rsidR="008C4A19" w:rsidRDefault="008C4A19" w:rsidP="00DF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f3">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19" w:rsidRDefault="008C4A19" w:rsidP="00DF1667">
      <w:r>
        <w:separator/>
      </w:r>
    </w:p>
  </w:footnote>
  <w:footnote w:type="continuationSeparator" w:id="0">
    <w:p w:rsidR="008C4A19" w:rsidRDefault="008C4A19" w:rsidP="00DF1667">
      <w:r>
        <w:continuationSeparator/>
      </w:r>
    </w:p>
  </w:footnote>
  <w:footnote w:id="1">
    <w:p w:rsidR="00A7663B" w:rsidRPr="00D4643C" w:rsidRDefault="00A7663B" w:rsidP="00D4643C">
      <w:pPr>
        <w:bidi w:val="0"/>
        <w:jc w:val="both"/>
        <w:rPr>
          <w:rFonts w:asciiTheme="majorBidi" w:hAnsiTheme="majorBidi" w:cstheme="majorBidi"/>
          <w:color w:val="000000" w:themeColor="text1"/>
          <w:sz w:val="20"/>
          <w:szCs w:val="20"/>
        </w:rPr>
      </w:pPr>
      <w:r w:rsidRPr="00D4643C">
        <w:rPr>
          <w:rFonts w:asciiTheme="majorBidi" w:hAnsiTheme="majorBidi" w:cstheme="majorBidi"/>
          <w:b/>
          <w:bCs/>
          <w:color w:val="000000" w:themeColor="text1"/>
          <w:sz w:val="20"/>
          <w:szCs w:val="20"/>
        </w:rPr>
        <w:t xml:space="preserve">* </w:t>
      </w:r>
      <w:r w:rsidRPr="00D4643C">
        <w:rPr>
          <w:rFonts w:asciiTheme="majorBidi" w:hAnsiTheme="majorBidi" w:cstheme="majorBidi"/>
          <w:color w:val="000000" w:themeColor="text1"/>
          <w:sz w:val="20"/>
          <w:szCs w:val="20"/>
        </w:rPr>
        <w:t xml:space="preserve">Dean and Associate Professor of Public International Law, Hebron University College of Law and Political Science, Palestine; he holds PhD in International Law from the Graduate Institute of International and Development Studies, Geneva. PhD Supervisor, University of Exeter School of Law, UK; Member of the International Law Association (ILA), ICC Complementarity Committee, London; Former Human Rights Officer at the United Nations in Geneva, Beirut, and Ramallah. He published six books and over 30 refereed articles in Oxford, Cambridge, The Hague, London, Oslo and elsewhere. Email: </w:t>
      </w:r>
      <w:hyperlink r:id="rId1" w:history="1">
        <w:r w:rsidRPr="00D4643C">
          <w:rPr>
            <w:rStyle w:val="Hyperlink"/>
            <w:rFonts w:asciiTheme="majorBidi" w:hAnsiTheme="majorBidi" w:cstheme="majorBidi"/>
            <w:color w:val="000000" w:themeColor="text1"/>
            <w:sz w:val="20"/>
            <w:szCs w:val="20"/>
            <w:u w:val="none"/>
          </w:rPr>
          <w:t>mmqafisheh@gmail.com</w:t>
        </w:r>
      </w:hyperlink>
      <w:r w:rsidRPr="00D4643C">
        <w:rPr>
          <w:rFonts w:asciiTheme="majorBidi" w:hAnsiTheme="majorBidi" w:cstheme="majorBidi"/>
          <w:color w:val="000000" w:themeColor="text1"/>
          <w:sz w:val="20"/>
          <w:szCs w:val="20"/>
        </w:rPr>
        <w:t xml:space="preserve"> or </w:t>
      </w:r>
      <w:hyperlink r:id="rId2" w:history="1">
        <w:r w:rsidRPr="00D4643C">
          <w:rPr>
            <w:rStyle w:val="Hyperlink"/>
            <w:rFonts w:asciiTheme="majorBidi" w:hAnsiTheme="majorBidi" w:cstheme="majorBidi"/>
            <w:color w:val="000000" w:themeColor="text1"/>
            <w:sz w:val="20"/>
            <w:szCs w:val="20"/>
            <w:u w:val="none"/>
          </w:rPr>
          <w:t>mutazq@hebron.edu</w:t>
        </w:r>
      </w:hyperlink>
    </w:p>
    <w:p w:rsidR="00A7663B" w:rsidRPr="00D4643C" w:rsidRDefault="00A7663B" w:rsidP="00D4643C">
      <w:pPr>
        <w:pStyle w:val="FootnoteText"/>
        <w:jc w:val="both"/>
        <w:rPr>
          <w:rFonts w:asciiTheme="majorBid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tl/>
          <w:cs/>
        </w:rPr>
        <w:t xml:space="preserve"> </w:t>
      </w:r>
      <w:r w:rsidRPr="00D4643C">
        <w:rPr>
          <w:rFonts w:asciiTheme="majorBidi" w:hAnsiTheme="majorBidi" w:cstheme="majorBidi"/>
          <w:color w:val="000000" w:themeColor="text1"/>
          <w:szCs w:val="20"/>
          <w:shd w:val="clear" w:color="auto" w:fill="FFFFFF"/>
        </w:rPr>
        <w:t xml:space="preserve">United Nations General Assembly, </w:t>
      </w:r>
      <w:r w:rsidRPr="00D4643C">
        <w:rPr>
          <w:rFonts w:asciiTheme="majorBidi" w:hAnsiTheme="majorBidi" w:cstheme="majorBidi"/>
          <w:i/>
          <w:iCs/>
          <w:color w:val="000000" w:themeColor="text1"/>
          <w:szCs w:val="20"/>
          <w:shd w:val="clear" w:color="auto" w:fill="FFFFFF"/>
        </w:rPr>
        <w:t>Status of Palestine in the United Nations</w:t>
      </w:r>
      <w:r w:rsidRPr="00D4643C">
        <w:rPr>
          <w:rFonts w:asciiTheme="majorBidi" w:hAnsiTheme="majorBidi" w:cstheme="majorBidi"/>
          <w:color w:val="000000" w:themeColor="text1"/>
          <w:szCs w:val="20"/>
          <w:shd w:val="clear" w:color="auto" w:fill="FFFFFF"/>
        </w:rPr>
        <w:t>, UN Doc. A/RES/67/19, 4 Dec. 2012</w:t>
      </w:r>
      <w:r w:rsidRPr="00D4643C">
        <w:rPr>
          <w:rFonts w:asciiTheme="majorBidi" w:hAnsiTheme="majorBidi" w:cstheme="majorBidi"/>
          <w:color w:val="000000" w:themeColor="text1"/>
          <w:szCs w:val="20"/>
        </w:rPr>
        <w:t>.</w:t>
      </w:r>
    </w:p>
  </w:footnote>
  <w:footnote w:id="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eastAsiaTheme="majorEastAsia" w:hAnsiTheme="majorBidi" w:cstheme="majorBidi"/>
          <w:color w:val="000000" w:themeColor="text1"/>
          <w:szCs w:val="20"/>
        </w:rPr>
        <w:footnoteRef/>
      </w:r>
      <w:r w:rsidRPr="00D4643C">
        <w:rPr>
          <w:rFonts w:asciiTheme="majorBidi" w:hAnsiTheme="majorBidi" w:cstheme="majorBidi"/>
          <w:color w:val="000000" w:themeColor="text1"/>
          <w:szCs w:val="20"/>
          <w:rtl/>
          <w:cs/>
        </w:rPr>
        <w:t xml:space="preserve"> </w:t>
      </w:r>
      <w:r w:rsidRPr="00D4643C">
        <w:rPr>
          <w:rFonts w:asciiTheme="majorBidi" w:hAnsiTheme="majorBidi" w:cstheme="majorBidi"/>
          <w:color w:val="000000" w:themeColor="text1"/>
          <w:szCs w:val="20"/>
        </w:rPr>
        <w:t xml:space="preserve">UNESCO, </w:t>
      </w:r>
      <w:r w:rsidRPr="00D4643C">
        <w:rPr>
          <w:rFonts w:asciiTheme="majorBidi" w:hAnsiTheme="majorBidi" w:cstheme="majorBidi"/>
          <w:i/>
          <w:iCs/>
          <w:color w:val="000000" w:themeColor="text1"/>
          <w:szCs w:val="20"/>
        </w:rPr>
        <w:t>General Conference admits Palestine as UNESCO Member State</w:t>
      </w:r>
      <w:r w:rsidRPr="00D4643C">
        <w:rPr>
          <w:rFonts w:asciiTheme="majorBidi" w:hAnsiTheme="majorBidi" w:cstheme="majorBidi"/>
          <w:color w:val="000000" w:themeColor="text1"/>
          <w:szCs w:val="20"/>
        </w:rPr>
        <w:t>, Paris, UNESCO, 31 October 2011.</w:t>
      </w:r>
    </w:p>
  </w:footnote>
  <w:footnote w:id="3">
    <w:p w:rsidR="00A7663B" w:rsidRPr="00D4643C" w:rsidRDefault="00A7663B" w:rsidP="00D4643C">
      <w:pPr>
        <w:pStyle w:val="Heading3"/>
        <w:shd w:val="clear" w:color="auto" w:fill="FFFFFF"/>
        <w:spacing w:before="0"/>
        <w:jc w:val="both"/>
        <w:rPr>
          <w:rFonts w:asciiTheme="majorBidi" w:eastAsia="Times New Roman" w:hAnsiTheme="majorBidi"/>
          <w:b w:val="0"/>
          <w:bCs w:val="0"/>
          <w:color w:val="000000" w:themeColor="text1"/>
          <w:sz w:val="20"/>
          <w:szCs w:val="20"/>
        </w:rPr>
      </w:pPr>
      <w:r w:rsidRPr="00D4643C">
        <w:rPr>
          <w:rStyle w:val="FootnoteReference"/>
          <w:rFonts w:asciiTheme="majorBidi" w:hAnsiTheme="majorBidi"/>
          <w:b w:val="0"/>
          <w:color w:val="000000" w:themeColor="text1"/>
          <w:sz w:val="20"/>
          <w:szCs w:val="20"/>
        </w:rPr>
        <w:footnoteRef/>
      </w:r>
      <w:r w:rsidRPr="00D4643C">
        <w:rPr>
          <w:rFonts w:asciiTheme="majorBidi" w:hAnsiTheme="majorBidi"/>
          <w:b w:val="0"/>
          <w:bCs w:val="0"/>
          <w:color w:val="000000" w:themeColor="text1"/>
          <w:sz w:val="20"/>
          <w:szCs w:val="20"/>
          <w:rtl/>
        </w:rPr>
        <w:t xml:space="preserve"> </w:t>
      </w:r>
      <w:r w:rsidRPr="00D4643C">
        <w:rPr>
          <w:rFonts w:asciiTheme="majorBidi" w:hAnsiTheme="majorBidi"/>
          <w:b w:val="0"/>
          <w:bCs w:val="0"/>
          <w:color w:val="000000" w:themeColor="text1"/>
          <w:sz w:val="20"/>
          <w:szCs w:val="20"/>
        </w:rPr>
        <w:t>ICC</w:t>
      </w:r>
      <w:r w:rsidRPr="00D4643C">
        <w:rPr>
          <w:rFonts w:asciiTheme="majorBidi" w:eastAsia="Times New Roman" w:hAnsiTheme="majorBidi"/>
          <w:b w:val="0"/>
          <w:bCs w:val="0"/>
          <w:color w:val="000000" w:themeColor="text1"/>
          <w:sz w:val="20"/>
          <w:szCs w:val="20"/>
        </w:rPr>
        <w:t xml:space="preserve"> Press Release</w:t>
      </w:r>
      <w:r w:rsidRPr="00D4643C">
        <w:rPr>
          <w:rFonts w:asciiTheme="majorBidi" w:hAnsiTheme="majorBidi"/>
          <w:b w:val="0"/>
          <w:bCs w:val="0"/>
          <w:color w:val="000000" w:themeColor="text1"/>
          <w:sz w:val="20"/>
          <w:szCs w:val="20"/>
        </w:rPr>
        <w:t xml:space="preserve">, </w:t>
      </w:r>
      <w:r w:rsidRPr="00D4643C">
        <w:rPr>
          <w:rFonts w:asciiTheme="majorBidi" w:eastAsia="Times New Roman" w:hAnsiTheme="majorBidi"/>
          <w:b w:val="0"/>
          <w:bCs w:val="0"/>
          <w:i/>
          <w:iCs/>
          <w:color w:val="000000" w:themeColor="text1"/>
          <w:sz w:val="20"/>
          <w:szCs w:val="20"/>
        </w:rPr>
        <w:t>ICC welcomes Palestine as a new State Party</w:t>
      </w:r>
      <w:r w:rsidRPr="00D4643C">
        <w:rPr>
          <w:rFonts w:asciiTheme="majorBidi" w:eastAsia="Times New Roman" w:hAnsiTheme="majorBidi"/>
          <w:b w:val="0"/>
          <w:bCs w:val="0"/>
          <w:color w:val="000000" w:themeColor="text1"/>
          <w:sz w:val="20"/>
          <w:szCs w:val="20"/>
        </w:rPr>
        <w:t xml:space="preserve">, </w:t>
      </w:r>
      <w:r w:rsidRPr="00D4643C">
        <w:rPr>
          <w:rFonts w:asciiTheme="majorBidi" w:hAnsiTheme="majorBidi"/>
          <w:b w:val="0"/>
          <w:bCs w:val="0"/>
          <w:color w:val="000000" w:themeColor="text1"/>
          <w:sz w:val="20"/>
          <w:szCs w:val="20"/>
          <w:shd w:val="clear" w:color="auto" w:fill="FFFFFF"/>
        </w:rPr>
        <w:t>ICC-CPI-20150401-PR1103</w:t>
      </w:r>
      <w:r>
        <w:rPr>
          <w:rFonts w:asciiTheme="majorBidi" w:eastAsia="Times New Roman" w:hAnsiTheme="majorBidi"/>
          <w:b w:val="0"/>
          <w:bCs w:val="0"/>
          <w:color w:val="000000" w:themeColor="text1"/>
          <w:sz w:val="20"/>
          <w:szCs w:val="20"/>
        </w:rPr>
        <w:t>, The Hague, 1 Apr.</w:t>
      </w:r>
      <w:r w:rsidRPr="00D4643C">
        <w:rPr>
          <w:rFonts w:asciiTheme="majorBidi" w:eastAsia="Times New Roman" w:hAnsiTheme="majorBidi"/>
          <w:b w:val="0"/>
          <w:bCs w:val="0"/>
          <w:color w:val="000000" w:themeColor="text1"/>
          <w:sz w:val="20"/>
          <w:szCs w:val="20"/>
        </w:rPr>
        <w:t xml:space="preserve"> 2015.</w:t>
      </w:r>
    </w:p>
  </w:footnote>
  <w:footnote w:id="4">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tl/>
          <w:cs/>
        </w:rPr>
        <w:t xml:space="preserve"> </w:t>
      </w:r>
      <w:r w:rsidRPr="00D4643C">
        <w:rPr>
          <w:rFonts w:asciiTheme="majorBidi" w:hAnsiTheme="majorBidi" w:cstheme="majorBidi"/>
          <w:color w:val="000000" w:themeColor="text1"/>
          <w:szCs w:val="20"/>
        </w:rPr>
        <w:t xml:space="preserve">M. </w:t>
      </w:r>
      <w:proofErr w:type="spellStart"/>
      <w:r w:rsidRPr="00D4643C">
        <w:rPr>
          <w:rFonts w:asciiTheme="majorBidi" w:hAnsiTheme="majorBidi" w:cstheme="majorBidi"/>
          <w:color w:val="000000" w:themeColor="text1"/>
          <w:szCs w:val="20"/>
        </w:rPr>
        <w:t>Qafisheh</w:t>
      </w:r>
      <w:proofErr w:type="spellEnd"/>
      <w:r w:rsidRPr="00D4643C">
        <w:rPr>
          <w:rFonts w:asciiTheme="majorBidi" w:hAnsiTheme="majorBidi" w:cstheme="majorBidi"/>
          <w:color w:val="000000" w:themeColor="text1"/>
          <w:szCs w:val="20"/>
        </w:rPr>
        <w:t xml:space="preserve"> (ed.), </w:t>
      </w:r>
      <w:r w:rsidRPr="00D4643C">
        <w:rPr>
          <w:rFonts w:asciiTheme="majorBidi" w:hAnsiTheme="majorBidi" w:cstheme="majorBidi"/>
          <w:i/>
          <w:iCs/>
          <w:color w:val="000000" w:themeColor="text1"/>
          <w:szCs w:val="20"/>
        </w:rPr>
        <w:t>Palestine Membership in the United Nations: Legal and Practical Implications,</w:t>
      </w:r>
      <w:r w:rsidRPr="00D4643C">
        <w:rPr>
          <w:rFonts w:asciiTheme="majorBidi" w:hAnsiTheme="majorBidi" w:cstheme="majorBidi"/>
          <w:color w:val="000000" w:themeColor="text1"/>
          <w:szCs w:val="20"/>
        </w:rPr>
        <w:t xml:space="preserve"> Newcastle: Cambridge Scholars, 2013.</w:t>
      </w:r>
    </w:p>
  </w:footnote>
  <w:footnote w:id="5">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PLO, </w:t>
      </w:r>
      <w:r w:rsidRPr="00D4643C">
        <w:rPr>
          <w:rFonts w:asciiTheme="majorBidi" w:hAnsiTheme="majorBidi" w:cstheme="majorBidi"/>
          <w:i/>
          <w:iCs/>
          <w:color w:val="000000" w:themeColor="text1"/>
          <w:szCs w:val="20"/>
        </w:rPr>
        <w:t>Draft Palestinian Citizenship Law</w:t>
      </w:r>
      <w:r w:rsidRPr="00D4643C">
        <w:rPr>
          <w:rFonts w:asciiTheme="majorBidi" w:hAnsiTheme="majorBidi" w:cstheme="majorBidi"/>
          <w:color w:val="000000" w:themeColor="text1"/>
          <w:szCs w:val="20"/>
        </w:rPr>
        <w:t>, Ramallah, Negotiation Affairs Department, Ja</w:t>
      </w:r>
      <w:r>
        <w:rPr>
          <w:rFonts w:asciiTheme="majorBidi" w:hAnsiTheme="majorBidi" w:cstheme="majorBidi"/>
          <w:color w:val="000000" w:themeColor="text1"/>
          <w:szCs w:val="20"/>
        </w:rPr>
        <w:t>nuary 2012; unpublished draft,</w:t>
      </w:r>
      <w:r w:rsidRPr="00D4643C">
        <w:rPr>
          <w:rFonts w:asciiTheme="majorBidi" w:hAnsiTheme="majorBidi" w:cstheme="majorBidi"/>
          <w:color w:val="000000" w:themeColor="text1"/>
          <w:szCs w:val="20"/>
        </w:rPr>
        <w:t xml:space="preserve"> on file with th</w:t>
      </w:r>
      <w:r>
        <w:rPr>
          <w:rFonts w:asciiTheme="majorBidi" w:hAnsiTheme="majorBidi" w:cstheme="majorBidi"/>
          <w:color w:val="000000" w:themeColor="text1"/>
          <w:szCs w:val="20"/>
        </w:rPr>
        <w:t>e writer</w:t>
      </w:r>
      <w:r w:rsidRPr="00D4643C">
        <w:rPr>
          <w:rFonts w:asciiTheme="majorBidi" w:hAnsiTheme="majorBidi" w:cstheme="majorBidi"/>
          <w:color w:val="000000" w:themeColor="text1"/>
          <w:szCs w:val="20"/>
        </w:rPr>
        <w:t>).</w:t>
      </w:r>
    </w:p>
  </w:footnote>
  <w:footnote w:id="6">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M. </w:t>
      </w:r>
      <w:proofErr w:type="spellStart"/>
      <w:r w:rsidRPr="00D4643C">
        <w:rPr>
          <w:rFonts w:asciiTheme="majorBidi" w:hAnsiTheme="majorBidi" w:cstheme="majorBidi"/>
          <w:color w:val="000000" w:themeColor="text1"/>
          <w:szCs w:val="20"/>
        </w:rPr>
        <w:t>Qafisheh</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The International Law Foundations of Palestinian Nationality: A Legal Examination of Palest</w:t>
      </w:r>
      <w:r>
        <w:rPr>
          <w:rFonts w:asciiTheme="majorBidi" w:hAnsiTheme="majorBidi" w:cstheme="majorBidi"/>
          <w:i/>
          <w:iCs/>
          <w:color w:val="000000" w:themeColor="text1"/>
          <w:szCs w:val="20"/>
        </w:rPr>
        <w:t>inian Nationality under Britain</w:t>
      </w:r>
      <w:r w:rsidRPr="00522D3F">
        <w:rPr>
          <w:rFonts w:asciiTheme="majorBidi" w:hAnsiTheme="majorBidi" w:cstheme="majorBidi"/>
          <w:i/>
          <w:iCs/>
          <w:color w:val="000000" w:themeColor="text1"/>
          <w:szCs w:val="20"/>
        </w:rPr>
        <w:t>’</w:t>
      </w:r>
      <w:r w:rsidRPr="00D4643C">
        <w:rPr>
          <w:rFonts w:asciiTheme="majorBidi" w:hAnsiTheme="majorBidi" w:cstheme="majorBidi"/>
          <w:i/>
          <w:iCs/>
          <w:color w:val="000000" w:themeColor="text1"/>
          <w:szCs w:val="20"/>
        </w:rPr>
        <w:t>s Rule</w:t>
      </w:r>
      <w:r w:rsidRPr="00D4643C">
        <w:rPr>
          <w:rFonts w:asciiTheme="majorBidi" w:hAnsiTheme="majorBidi" w:cstheme="majorBidi"/>
          <w:color w:val="000000" w:themeColor="text1"/>
          <w:szCs w:val="20"/>
        </w:rPr>
        <w:t xml:space="preserve">, Leiden/Boston, </w:t>
      </w:r>
      <w:proofErr w:type="spellStart"/>
      <w:r w:rsidRPr="00D4643C">
        <w:rPr>
          <w:rFonts w:asciiTheme="majorBidi" w:hAnsiTheme="majorBidi" w:cstheme="majorBidi"/>
          <w:color w:val="000000" w:themeColor="text1"/>
          <w:szCs w:val="20"/>
        </w:rPr>
        <w:t>Martinus</w:t>
      </w:r>
      <w:proofErr w:type="spellEnd"/>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Nijhoff</w:t>
      </w:r>
      <w:proofErr w:type="spellEnd"/>
      <w:r w:rsidRPr="00D4643C">
        <w:rPr>
          <w:rFonts w:asciiTheme="majorBidi" w:hAnsiTheme="majorBidi" w:cstheme="majorBidi"/>
          <w:color w:val="000000" w:themeColor="text1"/>
          <w:szCs w:val="20"/>
        </w:rPr>
        <w:t>, 2008.</w:t>
      </w:r>
    </w:p>
  </w:footnote>
  <w:footnote w:id="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T</w:t>
      </w:r>
      <w:r w:rsidRPr="00D4643C">
        <w:rPr>
          <w:rFonts w:asciiTheme="majorBidi" w:hAnsiTheme="majorBidi" w:cstheme="majorBidi"/>
          <w:color w:val="000000" w:themeColor="text1"/>
          <w:szCs w:val="20"/>
        </w:rPr>
        <w:t>he terms “citizenship” and “nationality” are used as synonymous</w:t>
      </w:r>
      <w:r>
        <w:rPr>
          <w:rFonts w:asciiTheme="majorBidi" w:hAnsiTheme="majorBidi" w:cstheme="majorBidi"/>
          <w:color w:val="000000" w:themeColor="text1"/>
          <w:szCs w:val="20"/>
        </w:rPr>
        <w:t xml:space="preserve"> here.</w:t>
      </w:r>
    </w:p>
  </w:footnote>
  <w:footnote w:id="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J. Crawford, </w:t>
      </w:r>
      <w:proofErr w:type="spellStart"/>
      <w:r w:rsidRPr="00D4643C">
        <w:rPr>
          <w:rFonts w:asciiTheme="majorBidi" w:hAnsiTheme="majorBidi" w:cstheme="majorBidi"/>
          <w:i/>
          <w:iCs/>
          <w:color w:val="000000" w:themeColor="text1"/>
          <w:szCs w:val="20"/>
        </w:rPr>
        <w:t>Brownlie</w:t>
      </w:r>
      <w:r w:rsidRPr="00522D3F">
        <w:rPr>
          <w:rFonts w:asciiTheme="majorBidi" w:hAnsiTheme="majorBidi" w:cstheme="majorBidi"/>
          <w:i/>
          <w:iCs/>
          <w:color w:val="000000" w:themeColor="text1"/>
          <w:szCs w:val="20"/>
        </w:rPr>
        <w:t>’</w:t>
      </w:r>
      <w:r w:rsidRPr="00D4643C">
        <w:rPr>
          <w:rFonts w:asciiTheme="majorBidi" w:hAnsiTheme="majorBidi" w:cstheme="majorBidi"/>
          <w:i/>
          <w:iCs/>
          <w:color w:val="000000" w:themeColor="text1"/>
          <w:szCs w:val="20"/>
        </w:rPr>
        <w:t>s</w:t>
      </w:r>
      <w:proofErr w:type="spellEnd"/>
      <w:r w:rsidRPr="00D4643C">
        <w:rPr>
          <w:rFonts w:asciiTheme="majorBidi" w:hAnsiTheme="majorBidi" w:cstheme="majorBidi"/>
          <w:i/>
          <w:iCs/>
          <w:color w:val="000000" w:themeColor="text1"/>
          <w:szCs w:val="20"/>
        </w:rPr>
        <w:t xml:space="preserve"> Principles of International Law</w:t>
      </w:r>
      <w:r w:rsidRPr="00D4643C">
        <w:rPr>
          <w:rFonts w:asciiTheme="majorBidi" w:hAnsiTheme="majorBidi" w:cstheme="majorBidi"/>
          <w:color w:val="000000" w:themeColor="text1"/>
          <w:szCs w:val="20"/>
        </w:rPr>
        <w:t xml:space="preserve">, 8th </w:t>
      </w:r>
      <w:proofErr w:type="spellStart"/>
      <w:r w:rsidRPr="00D4643C">
        <w:rPr>
          <w:rFonts w:asciiTheme="majorBidi" w:hAnsiTheme="majorBidi" w:cstheme="majorBidi"/>
          <w:color w:val="000000" w:themeColor="text1"/>
          <w:szCs w:val="20"/>
        </w:rPr>
        <w:t>edn</w:t>
      </w:r>
      <w:proofErr w:type="spellEnd"/>
      <w:r w:rsidRPr="00D4643C">
        <w:rPr>
          <w:rFonts w:asciiTheme="majorBidi" w:hAnsiTheme="majorBidi" w:cstheme="majorBidi"/>
          <w:color w:val="000000" w:themeColor="text1"/>
          <w:szCs w:val="20"/>
        </w:rPr>
        <w:t>., Oxford, Oxford University Press, 2012, 509-526.</w:t>
      </w:r>
    </w:p>
  </w:footnote>
  <w:footnote w:id="9">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According to Ottoman Nationality Law of 19 January 1869. R.W. </w:t>
      </w:r>
      <w:proofErr w:type="spellStart"/>
      <w:r w:rsidRPr="00D4643C">
        <w:rPr>
          <w:rFonts w:asciiTheme="majorBidi" w:hAnsiTheme="majorBidi" w:cstheme="majorBidi"/>
          <w:color w:val="000000" w:themeColor="text1"/>
          <w:szCs w:val="20"/>
        </w:rPr>
        <w:t>Flournoy</w:t>
      </w:r>
      <w:proofErr w:type="spellEnd"/>
      <w:r w:rsidRPr="00D4643C">
        <w:rPr>
          <w:rFonts w:asciiTheme="majorBidi" w:hAnsiTheme="majorBidi" w:cstheme="majorBidi"/>
          <w:color w:val="000000" w:themeColor="text1"/>
          <w:szCs w:val="20"/>
        </w:rPr>
        <w:t xml:space="preserve"> &amp; O. Hudson (eds.), </w:t>
      </w:r>
      <w:r w:rsidRPr="00D4643C">
        <w:rPr>
          <w:rFonts w:asciiTheme="majorBidi" w:hAnsiTheme="majorBidi" w:cstheme="majorBidi"/>
          <w:i/>
          <w:iCs/>
          <w:color w:val="000000" w:themeColor="text1"/>
          <w:szCs w:val="20"/>
        </w:rPr>
        <w:t>Collection of Nationality Laws of Various Countries as Contained in Constitutions, Statutes and Treaties</w:t>
      </w:r>
      <w:r w:rsidRPr="00D4643C">
        <w:rPr>
          <w:rFonts w:asciiTheme="majorBidi" w:hAnsiTheme="majorBidi" w:cstheme="majorBidi"/>
          <w:color w:val="000000" w:themeColor="text1"/>
          <w:szCs w:val="20"/>
        </w:rPr>
        <w:t>, New York/London/Toronto/Melbourne/Bombay, Oxford University Press, 1929, 598.</w:t>
      </w:r>
    </w:p>
  </w:footnote>
  <w:footnote w:id="10">
    <w:p w:rsidR="00A7663B" w:rsidRPr="00D4643C" w:rsidRDefault="00A7663B" w:rsidP="006008C2">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P. </w:t>
      </w:r>
      <w:proofErr w:type="spellStart"/>
      <w:r w:rsidRPr="00D4643C">
        <w:rPr>
          <w:rFonts w:asciiTheme="majorBidi" w:hAnsiTheme="majorBidi" w:cstheme="majorBidi"/>
          <w:color w:val="000000" w:themeColor="text1"/>
          <w:szCs w:val="20"/>
        </w:rPr>
        <w:t>Arminjon</w:t>
      </w:r>
      <w:proofErr w:type="spellEnd"/>
      <w:r w:rsidRPr="00D4643C">
        <w:rPr>
          <w:rFonts w:asciiTheme="majorBidi" w:hAnsiTheme="majorBidi" w:cstheme="majorBidi"/>
          <w:color w:val="000000" w:themeColor="text1"/>
          <w:szCs w:val="20"/>
        </w:rPr>
        <w:t xml:space="preserve">, “De la </w:t>
      </w:r>
      <w:proofErr w:type="spellStart"/>
      <w:r w:rsidRPr="00D4643C">
        <w:rPr>
          <w:rFonts w:asciiTheme="majorBidi" w:hAnsiTheme="majorBidi" w:cstheme="majorBidi"/>
          <w:color w:val="000000" w:themeColor="text1"/>
          <w:szCs w:val="20"/>
        </w:rPr>
        <w:t>nationalité</w:t>
      </w:r>
      <w:proofErr w:type="spellEnd"/>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dans</w:t>
      </w:r>
      <w:proofErr w:type="spellEnd"/>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l’Empire</w:t>
      </w:r>
      <w:proofErr w:type="spellEnd"/>
      <w:r w:rsidRPr="00D4643C">
        <w:rPr>
          <w:rFonts w:asciiTheme="majorBidi" w:hAnsiTheme="majorBidi" w:cstheme="majorBidi"/>
          <w:color w:val="000000" w:themeColor="text1"/>
          <w:szCs w:val="20"/>
        </w:rPr>
        <w:t xml:space="preserve"> ottoman </w:t>
      </w:r>
      <w:proofErr w:type="spellStart"/>
      <w:r w:rsidRPr="00D4643C">
        <w:rPr>
          <w:rFonts w:asciiTheme="majorBidi" w:hAnsiTheme="majorBidi" w:cstheme="majorBidi"/>
          <w:color w:val="000000" w:themeColor="text1"/>
          <w:szCs w:val="20"/>
        </w:rPr>
        <w:t>spécialement</w:t>
      </w:r>
      <w:proofErr w:type="spellEnd"/>
      <w:r w:rsidRPr="00D4643C">
        <w:rPr>
          <w:rFonts w:asciiTheme="majorBidi" w:hAnsiTheme="majorBidi" w:cstheme="majorBidi"/>
          <w:color w:val="000000" w:themeColor="text1"/>
          <w:szCs w:val="20"/>
        </w:rPr>
        <w:t xml:space="preserve"> en </w:t>
      </w:r>
      <w:proofErr w:type="spellStart"/>
      <w:r w:rsidRPr="00D4643C">
        <w:rPr>
          <w:rFonts w:asciiTheme="majorBidi" w:hAnsiTheme="majorBidi" w:cstheme="majorBidi"/>
          <w:color w:val="000000" w:themeColor="text1"/>
          <w:szCs w:val="20"/>
        </w:rPr>
        <w:t>Egypte</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 xml:space="preserve">Revue </w:t>
      </w:r>
      <w:proofErr w:type="spellStart"/>
      <w:r w:rsidRPr="00D4643C">
        <w:rPr>
          <w:rFonts w:asciiTheme="majorBidi" w:hAnsiTheme="majorBidi" w:cstheme="majorBidi"/>
          <w:i/>
          <w:iCs/>
          <w:color w:val="000000" w:themeColor="text1"/>
          <w:szCs w:val="20"/>
        </w:rPr>
        <w:t>générale</w:t>
      </w:r>
      <w:proofErr w:type="spellEnd"/>
      <w:r w:rsidRPr="00D4643C">
        <w:rPr>
          <w:rFonts w:asciiTheme="majorBidi" w:hAnsiTheme="majorBidi" w:cstheme="majorBidi"/>
          <w:i/>
          <w:iCs/>
          <w:color w:val="000000" w:themeColor="text1"/>
          <w:szCs w:val="20"/>
        </w:rPr>
        <w:t xml:space="preserve"> de </w:t>
      </w:r>
      <w:proofErr w:type="spellStart"/>
      <w:r w:rsidRPr="00D4643C">
        <w:rPr>
          <w:rFonts w:asciiTheme="majorBidi" w:hAnsiTheme="majorBidi" w:cstheme="majorBidi"/>
          <w:i/>
          <w:iCs/>
          <w:color w:val="000000" w:themeColor="text1"/>
          <w:szCs w:val="20"/>
        </w:rPr>
        <w:t>droit</w:t>
      </w:r>
      <w:proofErr w:type="spellEnd"/>
      <w:r w:rsidRPr="00D4643C">
        <w:rPr>
          <w:rFonts w:asciiTheme="majorBidi" w:hAnsiTheme="majorBidi" w:cstheme="majorBidi"/>
          <w:i/>
          <w:iCs/>
          <w:color w:val="000000" w:themeColor="text1"/>
          <w:szCs w:val="20"/>
        </w:rPr>
        <w:t xml:space="preserve"> international public</w:t>
      </w:r>
      <w:r w:rsidRPr="00D4643C">
        <w:rPr>
          <w:rFonts w:asciiTheme="majorBidi" w:hAnsiTheme="majorBidi" w:cstheme="majorBidi"/>
          <w:color w:val="000000" w:themeColor="text1"/>
          <w:szCs w:val="20"/>
        </w:rPr>
        <w:t xml:space="preserve">, VIII, 1901, 520-567; P. </w:t>
      </w:r>
      <w:proofErr w:type="spellStart"/>
      <w:r w:rsidRPr="00D4643C">
        <w:rPr>
          <w:rFonts w:asciiTheme="majorBidi" w:hAnsiTheme="majorBidi" w:cstheme="majorBidi"/>
          <w:color w:val="000000" w:themeColor="text1"/>
          <w:szCs w:val="20"/>
        </w:rPr>
        <w:t>Arminjon</w:t>
      </w:r>
      <w:proofErr w:type="spellEnd"/>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i/>
          <w:iCs/>
          <w:color w:val="000000" w:themeColor="text1"/>
          <w:szCs w:val="20"/>
        </w:rPr>
        <w:t>Etrangers</w:t>
      </w:r>
      <w:proofErr w:type="spellEnd"/>
      <w:r w:rsidRPr="00D4643C">
        <w:rPr>
          <w:rFonts w:asciiTheme="majorBidi" w:hAnsiTheme="majorBidi" w:cstheme="majorBidi"/>
          <w:i/>
          <w:iCs/>
          <w:color w:val="000000" w:themeColor="text1"/>
          <w:szCs w:val="20"/>
        </w:rPr>
        <w:t xml:space="preserve"> et protégés </w:t>
      </w:r>
      <w:proofErr w:type="spellStart"/>
      <w:r w:rsidRPr="00D4643C">
        <w:rPr>
          <w:rFonts w:asciiTheme="majorBidi" w:hAnsiTheme="majorBidi" w:cstheme="majorBidi"/>
          <w:i/>
          <w:iCs/>
          <w:color w:val="000000" w:themeColor="text1"/>
          <w:szCs w:val="20"/>
        </w:rPr>
        <w:t>dans</w:t>
      </w:r>
      <w:proofErr w:type="spellEnd"/>
      <w:r w:rsidRPr="00D4643C">
        <w:rPr>
          <w:rFonts w:asciiTheme="majorBidi" w:hAnsiTheme="majorBidi" w:cstheme="majorBidi"/>
          <w:i/>
          <w:iCs/>
          <w:color w:val="000000" w:themeColor="text1"/>
          <w:szCs w:val="20"/>
        </w:rPr>
        <w:t xml:space="preserve"> </w:t>
      </w:r>
      <w:proofErr w:type="spellStart"/>
      <w:r w:rsidRPr="00D4643C">
        <w:rPr>
          <w:rFonts w:asciiTheme="majorBidi" w:hAnsiTheme="majorBidi" w:cstheme="majorBidi"/>
          <w:i/>
          <w:iCs/>
          <w:color w:val="000000" w:themeColor="text1"/>
          <w:szCs w:val="20"/>
        </w:rPr>
        <w:t>l’Empire</w:t>
      </w:r>
      <w:proofErr w:type="spellEnd"/>
      <w:r w:rsidRPr="00D4643C">
        <w:rPr>
          <w:rFonts w:asciiTheme="majorBidi" w:hAnsiTheme="majorBidi" w:cstheme="majorBidi"/>
          <w:i/>
          <w:iCs/>
          <w:color w:val="000000" w:themeColor="text1"/>
          <w:szCs w:val="20"/>
        </w:rPr>
        <w:t xml:space="preserve"> ottoman</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Paris</w:t>
      </w:r>
      <w:r>
        <w:rPr>
          <w:rFonts w:asciiTheme="majorBidi" w:hAnsiTheme="majorBidi" w:cstheme="majorBidi"/>
          <w:color w:val="000000" w:themeColor="text1"/>
          <w:szCs w:val="20"/>
        </w:rPr>
        <w:t xml:space="preserve">, </w:t>
      </w:r>
      <w:proofErr w:type="spellStart"/>
      <w:r>
        <w:rPr>
          <w:rFonts w:asciiTheme="majorBidi" w:hAnsiTheme="majorBidi" w:cstheme="majorBidi"/>
          <w:color w:val="000000" w:themeColor="text1"/>
          <w:szCs w:val="20"/>
        </w:rPr>
        <w:t>Librairie</w:t>
      </w:r>
      <w:proofErr w:type="spellEnd"/>
      <w:r>
        <w:rPr>
          <w:rFonts w:asciiTheme="majorBidi" w:hAnsiTheme="majorBidi" w:cstheme="majorBidi"/>
          <w:color w:val="000000" w:themeColor="text1"/>
          <w:szCs w:val="20"/>
        </w:rPr>
        <w:t xml:space="preserve"> </w:t>
      </w:r>
      <w:proofErr w:type="spellStart"/>
      <w:r>
        <w:rPr>
          <w:rFonts w:asciiTheme="majorBidi" w:hAnsiTheme="majorBidi" w:cstheme="majorBidi"/>
          <w:color w:val="000000" w:themeColor="text1"/>
          <w:szCs w:val="20"/>
        </w:rPr>
        <w:t>Marescq</w:t>
      </w:r>
      <w:proofErr w:type="spellEnd"/>
      <w:r>
        <w:rPr>
          <w:rFonts w:asciiTheme="majorBidi" w:hAnsiTheme="majorBidi" w:cstheme="majorBidi"/>
          <w:color w:val="000000" w:themeColor="text1"/>
          <w:szCs w:val="20"/>
        </w:rPr>
        <w:t xml:space="preserve"> </w:t>
      </w:r>
      <w:proofErr w:type="spellStart"/>
      <w:r>
        <w:rPr>
          <w:rFonts w:asciiTheme="majorBidi" w:hAnsiTheme="majorBidi" w:cstheme="majorBidi"/>
          <w:color w:val="000000" w:themeColor="text1"/>
          <w:szCs w:val="20"/>
        </w:rPr>
        <w:t>Ainé</w:t>
      </w:r>
      <w:proofErr w:type="spellEnd"/>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1903, 81-259. </w:t>
      </w:r>
    </w:p>
  </w:footnote>
  <w:footnote w:id="11">
    <w:p w:rsidR="00A7663B" w:rsidRPr="00D4643C" w:rsidRDefault="00A7663B" w:rsidP="006008C2">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P. </w:t>
      </w:r>
      <w:proofErr w:type="spellStart"/>
      <w:r w:rsidRPr="00D4643C">
        <w:rPr>
          <w:rFonts w:asciiTheme="majorBidi" w:hAnsiTheme="majorBidi" w:cstheme="majorBidi"/>
          <w:color w:val="000000" w:themeColor="text1"/>
          <w:szCs w:val="20"/>
        </w:rPr>
        <w:t>Ghali</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 xml:space="preserve">Les </w:t>
      </w:r>
      <w:proofErr w:type="spellStart"/>
      <w:r w:rsidRPr="00D4643C">
        <w:rPr>
          <w:rFonts w:asciiTheme="majorBidi" w:hAnsiTheme="majorBidi" w:cstheme="majorBidi"/>
          <w:i/>
          <w:iCs/>
          <w:color w:val="000000" w:themeColor="text1"/>
          <w:szCs w:val="20"/>
        </w:rPr>
        <w:t>nationalités</w:t>
      </w:r>
      <w:proofErr w:type="spellEnd"/>
      <w:r w:rsidRPr="00D4643C">
        <w:rPr>
          <w:rFonts w:asciiTheme="majorBidi" w:hAnsiTheme="majorBidi" w:cstheme="majorBidi"/>
          <w:i/>
          <w:iCs/>
          <w:color w:val="000000" w:themeColor="text1"/>
          <w:szCs w:val="20"/>
        </w:rPr>
        <w:t xml:space="preserve"> </w:t>
      </w:r>
      <w:proofErr w:type="spellStart"/>
      <w:r w:rsidRPr="00D4643C">
        <w:rPr>
          <w:rFonts w:asciiTheme="majorBidi" w:hAnsiTheme="majorBidi" w:cstheme="majorBidi"/>
          <w:i/>
          <w:iCs/>
          <w:color w:val="000000" w:themeColor="text1"/>
          <w:szCs w:val="20"/>
        </w:rPr>
        <w:t>détachées</w:t>
      </w:r>
      <w:proofErr w:type="spellEnd"/>
      <w:r w:rsidRPr="00D4643C">
        <w:rPr>
          <w:rFonts w:asciiTheme="majorBidi" w:hAnsiTheme="majorBidi" w:cstheme="majorBidi"/>
          <w:i/>
          <w:iCs/>
          <w:color w:val="000000" w:themeColor="text1"/>
          <w:szCs w:val="20"/>
        </w:rPr>
        <w:t xml:space="preserve"> de </w:t>
      </w:r>
      <w:proofErr w:type="spellStart"/>
      <w:r w:rsidRPr="00D4643C">
        <w:rPr>
          <w:rFonts w:asciiTheme="majorBidi" w:hAnsiTheme="majorBidi" w:cstheme="majorBidi"/>
          <w:i/>
          <w:iCs/>
          <w:color w:val="000000" w:themeColor="text1"/>
          <w:szCs w:val="20"/>
        </w:rPr>
        <w:t>l’Empire</w:t>
      </w:r>
      <w:proofErr w:type="spellEnd"/>
      <w:r w:rsidRPr="00D4643C">
        <w:rPr>
          <w:rFonts w:asciiTheme="majorBidi" w:hAnsiTheme="majorBidi" w:cstheme="majorBidi"/>
          <w:i/>
          <w:iCs/>
          <w:color w:val="000000" w:themeColor="text1"/>
          <w:szCs w:val="20"/>
        </w:rPr>
        <w:t xml:space="preserve"> ottoman à la suite de la guerre</w:t>
      </w:r>
      <w:r w:rsidRPr="00D4643C">
        <w:rPr>
          <w:rFonts w:asciiTheme="majorBidi" w:hAnsiTheme="majorBidi" w:cstheme="majorBidi"/>
          <w:color w:val="000000" w:themeColor="text1"/>
          <w:szCs w:val="20"/>
        </w:rPr>
        <w:t>, Paris,</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 xml:space="preserve">Les Editions </w:t>
      </w:r>
      <w:proofErr w:type="spellStart"/>
      <w:r w:rsidRPr="00D4643C">
        <w:rPr>
          <w:rFonts w:asciiTheme="majorBidi" w:hAnsiTheme="majorBidi" w:cstheme="majorBidi"/>
          <w:color w:val="000000" w:themeColor="text1"/>
          <w:szCs w:val="20"/>
        </w:rPr>
        <w:t>Domat-Montchrestien</w:t>
      </w:r>
      <w:proofErr w:type="spellEnd"/>
      <w:r w:rsidRPr="00D4643C">
        <w:rPr>
          <w:rFonts w:asciiTheme="majorBidi" w:hAnsiTheme="majorBidi" w:cstheme="majorBidi"/>
          <w:color w:val="000000" w:themeColor="text1"/>
          <w:szCs w:val="20"/>
        </w:rPr>
        <w:t>, 1934, 199-229.</w:t>
      </w:r>
    </w:p>
  </w:footnote>
  <w:footnote w:id="1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tl/>
          <w:lang w:bidi="ar-SA"/>
        </w:rPr>
        <w:t xml:space="preserve">28 </w:t>
      </w:r>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League of Nations Treaty Series</w:t>
      </w:r>
      <w:r w:rsidRPr="00D4643C">
        <w:rPr>
          <w:rFonts w:asciiTheme="majorBidi" w:hAnsiTheme="majorBidi" w:cstheme="majorBidi"/>
          <w:color w:val="000000" w:themeColor="text1"/>
          <w:szCs w:val="20"/>
        </w:rPr>
        <w:t xml:space="preserve"> 13, 1924.</w:t>
      </w:r>
    </w:p>
  </w:footnote>
  <w:footnote w:id="13">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Art. 30.</w:t>
      </w:r>
    </w:p>
  </w:footnote>
  <w:footnote w:id="14">
    <w:p w:rsidR="00A7663B" w:rsidRPr="00D4643C" w:rsidRDefault="00A7663B" w:rsidP="006008C2">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R.H. Drayton (ed.), </w:t>
      </w:r>
      <w:r w:rsidRPr="00D4643C">
        <w:rPr>
          <w:rFonts w:asciiTheme="majorBidi" w:hAnsiTheme="majorBidi" w:cstheme="majorBidi"/>
          <w:i/>
          <w:iCs/>
          <w:color w:val="000000" w:themeColor="text1"/>
          <w:szCs w:val="20"/>
        </w:rPr>
        <w:t>The Laws of Palestine in Force on the 31st Day of December 1933</w:t>
      </w:r>
      <w:r w:rsidRPr="00D4643C">
        <w:rPr>
          <w:rFonts w:asciiTheme="majorBidi" w:hAnsiTheme="majorBidi" w:cstheme="majorBidi"/>
          <w:color w:val="000000" w:themeColor="text1"/>
          <w:szCs w:val="20"/>
        </w:rPr>
        <w:t>,</w:t>
      </w:r>
      <w:r w:rsidRPr="006008C2">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London</w:t>
      </w:r>
      <w:r>
        <w:rPr>
          <w:rFonts w:asciiTheme="majorBidi" w:hAnsiTheme="majorBidi" w:cstheme="majorBidi"/>
          <w:color w:val="000000" w:themeColor="text1"/>
          <w:szCs w:val="20"/>
        </w:rPr>
        <w:t xml:space="preserve">, </w:t>
      </w:r>
      <w:proofErr w:type="spellStart"/>
      <w:r>
        <w:rPr>
          <w:rFonts w:asciiTheme="majorBidi" w:hAnsiTheme="majorBidi" w:cstheme="majorBidi"/>
          <w:color w:val="000000" w:themeColor="text1"/>
          <w:szCs w:val="20"/>
        </w:rPr>
        <w:t>Waterlow</w:t>
      </w:r>
      <w:proofErr w:type="spellEnd"/>
      <w:r>
        <w:rPr>
          <w:rFonts w:asciiTheme="majorBidi" w:hAnsiTheme="majorBidi" w:cstheme="majorBidi"/>
          <w:color w:val="000000" w:themeColor="text1"/>
          <w:szCs w:val="20"/>
        </w:rPr>
        <w:t xml:space="preserve"> and Sons</w:t>
      </w:r>
      <w:r w:rsidRPr="00D4643C">
        <w:rPr>
          <w:rFonts w:asciiTheme="majorBidi" w:hAnsiTheme="majorBidi" w:cstheme="majorBidi"/>
          <w:color w:val="000000" w:themeColor="text1"/>
          <w:szCs w:val="20"/>
        </w:rPr>
        <w:t>, 1934, 3404.</w:t>
      </w:r>
    </w:p>
  </w:footnote>
  <w:footnote w:id="15">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PCBS, </w:t>
      </w:r>
      <w:r w:rsidRPr="00D4643C">
        <w:rPr>
          <w:rFonts w:asciiTheme="majorBidi" w:hAnsiTheme="majorBidi" w:cstheme="majorBidi"/>
          <w:i/>
          <w:iCs/>
          <w:color w:val="000000" w:themeColor="text1"/>
          <w:szCs w:val="20"/>
        </w:rPr>
        <w:t>Palestinians at the End of the Year 2014</w:t>
      </w:r>
      <w:r w:rsidRPr="00D4643C">
        <w:rPr>
          <w:rFonts w:asciiTheme="majorBidi" w:hAnsiTheme="majorBidi" w:cstheme="majorBidi"/>
          <w:color w:val="000000" w:themeColor="text1"/>
          <w:szCs w:val="20"/>
        </w:rPr>
        <w:t>, Ramallah, December 2014, 13.</w:t>
      </w:r>
    </w:p>
  </w:footnote>
  <w:footnote w:id="16">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Ibid.</w:t>
      </w:r>
      <w:r w:rsidRPr="00D4643C">
        <w:rPr>
          <w:rFonts w:asciiTheme="majorBidi" w:hAnsiTheme="majorBidi" w:cstheme="majorBidi"/>
          <w:color w:val="000000" w:themeColor="text1"/>
          <w:szCs w:val="20"/>
        </w:rPr>
        <w:t>, 23.</w:t>
      </w:r>
    </w:p>
  </w:footnote>
  <w:footnote w:id="1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It is to be noted that the above figure of 4.62 million residing in the West Bank and Gaza does include the refugees residing therein, who are treated as natives.</w:t>
      </w:r>
    </w:p>
  </w:footnote>
  <w:footnote w:id="1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PCBS, </w:t>
      </w:r>
      <w:r w:rsidRPr="00D4643C">
        <w:rPr>
          <w:rFonts w:asciiTheme="majorBidi" w:hAnsiTheme="majorBidi" w:cstheme="majorBidi"/>
          <w:i/>
          <w:iCs/>
          <w:color w:val="000000" w:themeColor="text1"/>
          <w:szCs w:val="20"/>
        </w:rPr>
        <w:t>Palestin</w:t>
      </w:r>
      <w:r>
        <w:rPr>
          <w:rFonts w:asciiTheme="majorBidi" w:hAnsiTheme="majorBidi" w:cstheme="majorBidi"/>
          <w:i/>
          <w:iCs/>
          <w:color w:val="000000" w:themeColor="text1"/>
          <w:szCs w:val="20"/>
        </w:rPr>
        <w:t>ians</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 xml:space="preserve">above </w:t>
      </w:r>
      <w:r>
        <w:rPr>
          <w:rFonts w:asciiTheme="majorBidi" w:hAnsiTheme="majorBidi" w:cstheme="majorBidi"/>
          <w:color w:val="000000" w:themeColor="text1"/>
          <w:szCs w:val="20"/>
        </w:rPr>
        <w:t>foot</w:t>
      </w:r>
      <w:r w:rsidRPr="00D4643C">
        <w:rPr>
          <w:rFonts w:asciiTheme="majorBidi" w:hAnsiTheme="majorBidi" w:cstheme="majorBidi"/>
          <w:color w:val="000000" w:themeColor="text1"/>
          <w:szCs w:val="20"/>
        </w:rPr>
        <w:t>note</w:t>
      </w:r>
      <w:r>
        <w:rPr>
          <w:rFonts w:asciiTheme="majorBidi" w:hAnsiTheme="majorBidi" w:cstheme="majorBidi"/>
          <w:color w:val="000000" w:themeColor="text1"/>
          <w:szCs w:val="20"/>
        </w:rPr>
        <w:t xml:space="preserve"> 14</w:t>
      </w:r>
      <w:r w:rsidRPr="00D4643C">
        <w:rPr>
          <w:rFonts w:asciiTheme="majorBidi" w:hAnsiTheme="majorBidi" w:cstheme="majorBidi"/>
          <w:color w:val="000000" w:themeColor="text1"/>
          <w:szCs w:val="20"/>
        </w:rPr>
        <w:t>, 23.</w:t>
      </w:r>
    </w:p>
  </w:footnote>
  <w:footnote w:id="19">
    <w:p w:rsidR="00A7663B" w:rsidRPr="009F6711" w:rsidRDefault="00A7663B" w:rsidP="00D4643C">
      <w:pPr>
        <w:pStyle w:val="FootnoteText"/>
        <w:jc w:val="both"/>
        <w:rPr>
          <w:rFonts w:asciiTheme="majorBidi" w:hAnsiTheme="majorBidi" w:cstheme="majorBidi"/>
          <w:color w:val="000000" w:themeColor="text1"/>
          <w:szCs w:val="20"/>
        </w:rPr>
      </w:pPr>
      <w:r w:rsidRPr="009F6711">
        <w:rPr>
          <w:rStyle w:val="FootnoteReference"/>
          <w:rFonts w:asciiTheme="majorBidi" w:hAnsiTheme="majorBidi" w:cstheme="majorBidi"/>
          <w:color w:val="000000" w:themeColor="text1"/>
          <w:szCs w:val="20"/>
        </w:rPr>
        <w:footnoteRef/>
      </w:r>
      <w:r w:rsidRPr="009F6711">
        <w:rPr>
          <w:rFonts w:asciiTheme="majorBidi" w:hAnsiTheme="majorBidi" w:cstheme="majorBidi"/>
          <w:color w:val="000000" w:themeColor="text1"/>
          <w:szCs w:val="20"/>
        </w:rPr>
        <w:t xml:space="preserve"> “The Historical Decision to the Unify the Two Banks”, in M. </w:t>
      </w:r>
      <w:proofErr w:type="spellStart"/>
      <w:r w:rsidRPr="009F6711">
        <w:rPr>
          <w:rFonts w:asciiTheme="majorBidi" w:hAnsiTheme="majorBidi" w:cstheme="majorBidi"/>
          <w:color w:val="000000" w:themeColor="text1"/>
          <w:szCs w:val="20"/>
        </w:rPr>
        <w:t>Qafisheh</w:t>
      </w:r>
      <w:proofErr w:type="spellEnd"/>
      <w:r w:rsidRPr="009F6711">
        <w:rPr>
          <w:rFonts w:asciiTheme="majorBidi" w:hAnsiTheme="majorBidi" w:cstheme="majorBidi"/>
          <w:color w:val="000000" w:themeColor="text1"/>
          <w:szCs w:val="20"/>
        </w:rPr>
        <w:t xml:space="preserve">, </w:t>
      </w:r>
      <w:r w:rsidRPr="009F6711">
        <w:rPr>
          <w:rFonts w:asciiTheme="majorBidi" w:hAnsiTheme="majorBidi" w:cstheme="majorBidi"/>
          <w:i/>
          <w:iCs/>
          <w:color w:val="000000" w:themeColor="text1"/>
          <w:szCs w:val="20"/>
        </w:rPr>
        <w:t>History of Law in Palestine</w:t>
      </w:r>
      <w:r w:rsidRPr="009F6711">
        <w:rPr>
          <w:rFonts w:asciiTheme="majorBidi" w:hAnsiTheme="majorBidi" w:cstheme="majorBidi"/>
          <w:color w:val="000000" w:themeColor="text1"/>
          <w:szCs w:val="20"/>
        </w:rPr>
        <w:t xml:space="preserve">, Ramallah, </w:t>
      </w:r>
      <w:proofErr w:type="spellStart"/>
      <w:r w:rsidRPr="009F6711">
        <w:rPr>
          <w:rFonts w:asciiTheme="majorBidi" w:hAnsiTheme="majorBidi" w:cstheme="majorBidi"/>
          <w:color w:val="000000" w:themeColor="text1"/>
          <w:szCs w:val="20"/>
        </w:rPr>
        <w:t>Birzet</w:t>
      </w:r>
      <w:proofErr w:type="spellEnd"/>
      <w:r w:rsidRPr="009F6711">
        <w:rPr>
          <w:rFonts w:asciiTheme="majorBidi" w:hAnsiTheme="majorBidi" w:cstheme="majorBidi"/>
          <w:color w:val="000000" w:themeColor="text1"/>
          <w:szCs w:val="20"/>
        </w:rPr>
        <w:t xml:space="preserve"> University, 2009 (unpublished collection of documents), 171. </w:t>
      </w:r>
    </w:p>
  </w:footnote>
  <w:footnote w:id="20">
    <w:p w:rsidR="00A7663B" w:rsidRPr="00D4643C" w:rsidRDefault="00A7663B" w:rsidP="006008C2">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S. </w:t>
      </w:r>
      <w:proofErr w:type="spellStart"/>
      <w:r w:rsidRPr="00D4643C">
        <w:rPr>
          <w:rFonts w:asciiTheme="majorBidi" w:hAnsiTheme="majorBidi" w:cstheme="majorBidi"/>
          <w:color w:val="000000" w:themeColor="text1"/>
          <w:szCs w:val="20"/>
        </w:rPr>
        <w:t>Ficheleff</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 xml:space="preserve">Le </w:t>
      </w:r>
      <w:proofErr w:type="spellStart"/>
      <w:r w:rsidRPr="00D4643C">
        <w:rPr>
          <w:rFonts w:asciiTheme="majorBidi" w:hAnsiTheme="majorBidi" w:cstheme="majorBidi"/>
          <w:i/>
          <w:iCs/>
          <w:color w:val="000000" w:themeColor="text1"/>
          <w:szCs w:val="20"/>
        </w:rPr>
        <w:t>statut</w:t>
      </w:r>
      <w:proofErr w:type="spellEnd"/>
      <w:r w:rsidRPr="00D4643C">
        <w:rPr>
          <w:rFonts w:asciiTheme="majorBidi" w:hAnsiTheme="majorBidi" w:cstheme="majorBidi"/>
          <w:i/>
          <w:iCs/>
          <w:color w:val="000000" w:themeColor="text1"/>
          <w:szCs w:val="20"/>
        </w:rPr>
        <w:t xml:space="preserve"> international de la Palestine </w:t>
      </w:r>
      <w:proofErr w:type="spellStart"/>
      <w:r w:rsidRPr="00D4643C">
        <w:rPr>
          <w:rFonts w:asciiTheme="majorBidi" w:hAnsiTheme="majorBidi" w:cstheme="majorBidi"/>
          <w:i/>
          <w:iCs/>
          <w:color w:val="000000" w:themeColor="text1"/>
          <w:szCs w:val="20"/>
        </w:rPr>
        <w:t>orientale</w:t>
      </w:r>
      <w:proofErr w:type="spellEnd"/>
      <w:r w:rsidRPr="00D4643C">
        <w:rPr>
          <w:rFonts w:asciiTheme="majorBidi" w:hAnsiTheme="majorBidi" w:cstheme="majorBidi"/>
          <w:i/>
          <w:iCs/>
          <w:color w:val="000000" w:themeColor="text1"/>
          <w:szCs w:val="20"/>
        </w:rPr>
        <w:t xml:space="preserve"> (la </w:t>
      </w:r>
      <w:proofErr w:type="spellStart"/>
      <w:r w:rsidRPr="00D4643C">
        <w:rPr>
          <w:rFonts w:asciiTheme="majorBidi" w:hAnsiTheme="majorBidi" w:cstheme="majorBidi"/>
          <w:i/>
          <w:iCs/>
          <w:color w:val="000000" w:themeColor="text1"/>
          <w:szCs w:val="20"/>
        </w:rPr>
        <w:t>Transjordanie</w:t>
      </w:r>
      <w:proofErr w:type="spellEnd"/>
      <w:r w:rsidRPr="00D4643C">
        <w:rPr>
          <w:rFonts w:asciiTheme="majorBidi" w:hAnsiTheme="majorBidi" w:cstheme="majorBidi"/>
          <w:i/>
          <w:iCs/>
          <w:color w:val="000000" w:themeColor="text1"/>
          <w:szCs w:val="20"/>
        </w:rPr>
        <w:t>)</w:t>
      </w:r>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Librairie</w:t>
      </w:r>
      <w:proofErr w:type="spellEnd"/>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Lipschutz</w:t>
      </w:r>
      <w:proofErr w:type="spellEnd"/>
      <w:r w:rsidRPr="00D4643C">
        <w:rPr>
          <w:rFonts w:asciiTheme="majorBidi" w:hAnsiTheme="majorBidi" w:cstheme="majorBidi"/>
          <w:color w:val="000000" w:themeColor="text1"/>
          <w:szCs w:val="20"/>
        </w:rPr>
        <w:t xml:space="preserve">, Paris, 1932; M. Mock, Le </w:t>
      </w:r>
      <w:proofErr w:type="spellStart"/>
      <w:r w:rsidRPr="00D4643C">
        <w:rPr>
          <w:rFonts w:asciiTheme="majorBidi" w:hAnsiTheme="majorBidi" w:cstheme="majorBidi"/>
          <w:color w:val="000000" w:themeColor="text1"/>
          <w:szCs w:val="20"/>
        </w:rPr>
        <w:t>mandat</w:t>
      </w:r>
      <w:proofErr w:type="spellEnd"/>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britannique</w:t>
      </w:r>
      <w:proofErr w:type="spellEnd"/>
      <w:r w:rsidRPr="00D4643C">
        <w:rPr>
          <w:rFonts w:asciiTheme="majorBidi" w:hAnsiTheme="majorBidi" w:cstheme="majorBidi"/>
          <w:color w:val="000000" w:themeColor="text1"/>
          <w:szCs w:val="20"/>
        </w:rPr>
        <w:t xml:space="preserve"> en Palestine, </w:t>
      </w:r>
      <w:r>
        <w:rPr>
          <w:rFonts w:asciiTheme="majorBidi" w:hAnsiTheme="majorBidi" w:cstheme="majorBidi"/>
          <w:color w:val="000000" w:themeColor="text1"/>
          <w:szCs w:val="20"/>
        </w:rPr>
        <w:t xml:space="preserve">Paris, </w:t>
      </w:r>
      <w:r w:rsidRPr="00D4643C">
        <w:rPr>
          <w:rFonts w:asciiTheme="majorBidi" w:hAnsiTheme="majorBidi" w:cstheme="majorBidi"/>
          <w:color w:val="000000" w:themeColor="text1"/>
          <w:szCs w:val="20"/>
        </w:rPr>
        <w:t>Ed</w:t>
      </w:r>
      <w:r>
        <w:rPr>
          <w:rFonts w:asciiTheme="majorBidi" w:hAnsiTheme="majorBidi" w:cstheme="majorBidi"/>
          <w:color w:val="000000" w:themeColor="text1"/>
          <w:szCs w:val="20"/>
        </w:rPr>
        <w:t xml:space="preserve">itions Albert </w:t>
      </w:r>
      <w:proofErr w:type="spellStart"/>
      <w:r>
        <w:rPr>
          <w:rFonts w:asciiTheme="majorBidi" w:hAnsiTheme="majorBidi" w:cstheme="majorBidi"/>
          <w:color w:val="000000" w:themeColor="text1"/>
          <w:szCs w:val="20"/>
        </w:rPr>
        <w:t>Mechelinck</w:t>
      </w:r>
      <w:proofErr w:type="spellEnd"/>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1932, 326-330. See also E.L. Rogan, </w:t>
      </w:r>
      <w:r w:rsidRPr="00D4643C">
        <w:rPr>
          <w:rFonts w:asciiTheme="majorBidi" w:hAnsiTheme="majorBidi" w:cstheme="majorBidi"/>
          <w:i/>
          <w:iCs/>
          <w:color w:val="000000" w:themeColor="text1"/>
          <w:szCs w:val="20"/>
        </w:rPr>
        <w:t>Frontiers of the State in the Late Ottoman Empire, Transjordan, 1850-1921</w:t>
      </w:r>
      <w:r w:rsidRPr="00D4643C">
        <w:rPr>
          <w:rFonts w:asciiTheme="majorBidi" w:hAnsiTheme="majorBidi" w:cstheme="majorBidi"/>
          <w:color w:val="000000" w:themeColor="text1"/>
          <w:szCs w:val="20"/>
        </w:rPr>
        <w:t>, Cambridge</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Cambridge University Press</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1999.</w:t>
      </w:r>
    </w:p>
  </w:footnote>
  <w:footnote w:id="21">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League of Nations, </w:t>
      </w:r>
      <w:r w:rsidRPr="00D4643C">
        <w:rPr>
          <w:rFonts w:asciiTheme="majorBidi" w:hAnsiTheme="majorBidi" w:cstheme="majorBidi"/>
          <w:i/>
          <w:iCs/>
          <w:color w:val="000000" w:themeColor="text1"/>
          <w:szCs w:val="20"/>
        </w:rPr>
        <w:t>Official Journal</w:t>
      </w:r>
      <w:r w:rsidRPr="00D4643C">
        <w:rPr>
          <w:rFonts w:asciiTheme="majorBidi" w:hAnsiTheme="majorBidi" w:cstheme="majorBidi"/>
          <w:color w:val="000000" w:themeColor="text1"/>
          <w:szCs w:val="20"/>
        </w:rPr>
        <w:t>, August 1922, 1107.</w:t>
      </w:r>
    </w:p>
  </w:footnote>
  <w:footnote w:id="2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Memorandum by Lord Balfour</w:t>
      </w:r>
      <w:r w:rsidRPr="00D4643C">
        <w:rPr>
          <w:rFonts w:asciiTheme="majorBidi" w:hAnsiTheme="majorBidi" w:cstheme="majorBidi"/>
          <w:color w:val="000000" w:themeColor="text1"/>
          <w:szCs w:val="20"/>
        </w:rPr>
        <w:t>, League of Nations Docu</w:t>
      </w:r>
      <w:r>
        <w:rPr>
          <w:rFonts w:asciiTheme="majorBidi" w:hAnsiTheme="majorBidi" w:cstheme="majorBidi"/>
          <w:color w:val="000000" w:themeColor="text1"/>
          <w:szCs w:val="20"/>
        </w:rPr>
        <w:t>ment No. C.66.M.396.1922.VI, 16</w:t>
      </w:r>
      <w:r w:rsidRPr="00D4643C">
        <w:rPr>
          <w:rFonts w:asciiTheme="majorBidi" w:hAnsiTheme="majorBidi" w:cstheme="majorBidi"/>
          <w:color w:val="000000" w:themeColor="text1"/>
          <w:szCs w:val="20"/>
        </w:rPr>
        <w:t xml:space="preserve"> September 1922—League of Nations, </w:t>
      </w:r>
      <w:r w:rsidRPr="00D4643C">
        <w:rPr>
          <w:rFonts w:asciiTheme="majorBidi" w:hAnsiTheme="majorBidi" w:cstheme="majorBidi"/>
          <w:i/>
          <w:iCs/>
          <w:color w:val="000000" w:themeColor="text1"/>
          <w:szCs w:val="20"/>
        </w:rPr>
        <w:t>Official Journal</w:t>
      </w:r>
      <w:r w:rsidRPr="00D4643C">
        <w:rPr>
          <w:rFonts w:asciiTheme="majorBidi" w:hAnsiTheme="majorBidi" w:cstheme="majorBidi"/>
          <w:color w:val="000000" w:themeColor="text1"/>
          <w:szCs w:val="20"/>
        </w:rPr>
        <w:t>, November 1922, 1390-1391.</w:t>
      </w:r>
    </w:p>
  </w:footnote>
  <w:footnote w:id="23">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Drayton, above note, 3303.</w:t>
      </w:r>
    </w:p>
  </w:footnote>
  <w:footnote w:id="24">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Agreement between the United King</w:t>
      </w:r>
      <w:r>
        <w:rPr>
          <w:rFonts w:asciiTheme="majorBidi" w:hAnsiTheme="majorBidi" w:cstheme="majorBidi"/>
          <w:color w:val="000000" w:themeColor="text1"/>
          <w:szCs w:val="20"/>
        </w:rPr>
        <w:t>dom and Trans-Jordan, Jerusalem,</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 xml:space="preserve">in </w:t>
      </w:r>
      <w:r w:rsidRPr="00D4643C">
        <w:rPr>
          <w:rFonts w:asciiTheme="majorBidi" w:hAnsiTheme="majorBidi" w:cstheme="majorBidi"/>
          <w:color w:val="000000" w:themeColor="text1"/>
          <w:szCs w:val="20"/>
        </w:rPr>
        <w:t xml:space="preserve">P. </w:t>
      </w:r>
      <w:proofErr w:type="spellStart"/>
      <w:r w:rsidRPr="00D4643C">
        <w:rPr>
          <w:rFonts w:asciiTheme="majorBidi" w:hAnsiTheme="majorBidi" w:cstheme="majorBidi"/>
          <w:color w:val="000000" w:themeColor="text1"/>
          <w:szCs w:val="20"/>
        </w:rPr>
        <w:t>Toye</w:t>
      </w:r>
      <w:proofErr w:type="spellEnd"/>
      <w:r w:rsidRPr="00D4643C">
        <w:rPr>
          <w:rFonts w:asciiTheme="majorBidi" w:hAnsiTheme="majorBidi" w:cstheme="majorBidi"/>
          <w:color w:val="000000" w:themeColor="text1"/>
          <w:szCs w:val="20"/>
        </w:rPr>
        <w:t xml:space="preserve"> (ed.), </w:t>
      </w:r>
      <w:r w:rsidRPr="00D4643C">
        <w:rPr>
          <w:rFonts w:asciiTheme="majorBidi" w:hAnsiTheme="majorBidi" w:cstheme="majorBidi"/>
          <w:i/>
          <w:iCs/>
          <w:color w:val="000000" w:themeColor="text1"/>
          <w:szCs w:val="20"/>
        </w:rPr>
        <w:t>Palestine Boundaries 1833-1947</w:t>
      </w:r>
      <w:r w:rsidRPr="00D4643C">
        <w:rPr>
          <w:rFonts w:asciiTheme="majorBidi" w:hAnsiTheme="majorBidi" w:cstheme="majorBidi"/>
          <w:color w:val="000000" w:themeColor="text1"/>
          <w:szCs w:val="20"/>
        </w:rPr>
        <w:t>, Durham, University of Durham, 1989, 809.</w:t>
      </w:r>
    </w:p>
  </w:footnote>
  <w:footnote w:id="25">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Treaty of Alliance between His Majesty in respect of the United Kingdom and His Highness the Amir of Transjordan, London, 6 UNTS 143 (entry into force 17 Jun. 1946).</w:t>
      </w:r>
    </w:p>
  </w:footnote>
  <w:footnote w:id="26">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N. </w:t>
      </w:r>
      <w:proofErr w:type="spellStart"/>
      <w:r w:rsidRPr="00D4643C">
        <w:rPr>
          <w:rFonts w:asciiTheme="majorBidi" w:hAnsiTheme="majorBidi" w:cstheme="majorBidi"/>
          <w:color w:val="000000" w:themeColor="text1"/>
          <w:szCs w:val="20"/>
        </w:rPr>
        <w:t>Bentwich</w:t>
      </w:r>
      <w:proofErr w:type="spellEnd"/>
      <w:r w:rsidRPr="00D4643C">
        <w:rPr>
          <w:rFonts w:asciiTheme="majorBidi" w:hAnsiTheme="majorBidi" w:cstheme="majorBidi"/>
          <w:color w:val="000000" w:themeColor="text1"/>
          <w:szCs w:val="20"/>
        </w:rPr>
        <w:t xml:space="preserve">, “The Mandate for Trans-Jordan”, </w:t>
      </w:r>
      <w:r w:rsidRPr="00D4643C">
        <w:rPr>
          <w:rFonts w:asciiTheme="majorBidi" w:hAnsiTheme="majorBidi" w:cstheme="majorBidi"/>
          <w:i/>
          <w:iCs/>
          <w:color w:val="000000" w:themeColor="text1"/>
          <w:szCs w:val="20"/>
        </w:rPr>
        <w:t>British Year Book of International Law</w:t>
      </w:r>
      <w:r w:rsidRPr="00D4643C">
        <w:rPr>
          <w:rFonts w:asciiTheme="majorBidi" w:hAnsiTheme="majorBidi" w:cstheme="majorBidi"/>
          <w:color w:val="000000" w:themeColor="text1"/>
          <w:szCs w:val="20"/>
        </w:rPr>
        <w:t>, 1929, 212-213.</w:t>
      </w:r>
    </w:p>
  </w:footnote>
  <w:footnote w:id="2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Trans-Jordan Nationality Law of 1928 (</w:t>
      </w:r>
      <w:proofErr w:type="spellStart"/>
      <w:r w:rsidRPr="00D4643C">
        <w:rPr>
          <w:rFonts w:asciiTheme="majorBidi" w:hAnsiTheme="majorBidi" w:cstheme="majorBidi"/>
          <w:color w:val="000000" w:themeColor="text1"/>
          <w:szCs w:val="20"/>
        </w:rPr>
        <w:t>Flournoy</w:t>
      </w:r>
      <w:proofErr w:type="spellEnd"/>
      <w:r w:rsidRPr="00D4643C">
        <w:rPr>
          <w:rFonts w:asciiTheme="majorBidi" w:hAnsiTheme="majorBidi" w:cstheme="majorBidi"/>
          <w:color w:val="000000" w:themeColor="text1"/>
          <w:szCs w:val="20"/>
        </w:rPr>
        <w:t xml:space="preserve"> &amp; Hudson, above note, 274).</w:t>
      </w:r>
    </w:p>
  </w:footnote>
  <w:footnote w:id="2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Immigration Ordinance, 1941 (Palestine Gazette, No. 1082, Supplement 1, 6 March 1941, 6), Art. 2.</w:t>
      </w:r>
    </w:p>
  </w:footnote>
  <w:footnote w:id="29">
    <w:p w:rsidR="00A7663B" w:rsidRPr="00D4643C" w:rsidRDefault="00A7663B" w:rsidP="006008C2">
      <w:pPr>
        <w:bidi w:val="0"/>
        <w:jc w:val="both"/>
        <w:rPr>
          <w:rFonts w:asciiTheme="majorBidi" w:hAnsiTheme="majorBidi" w:cstheme="majorBidi"/>
          <w:color w:val="000000" w:themeColor="text1"/>
          <w:sz w:val="20"/>
          <w:szCs w:val="20"/>
        </w:rPr>
      </w:pPr>
      <w:r w:rsidRPr="00D4643C">
        <w:rPr>
          <w:rStyle w:val="FootnoteReference"/>
          <w:rFonts w:asciiTheme="majorBidi" w:hAnsiTheme="majorBidi" w:cstheme="majorBidi"/>
          <w:color w:val="000000" w:themeColor="text1"/>
          <w:sz w:val="20"/>
          <w:szCs w:val="20"/>
        </w:rPr>
        <w:footnoteRef/>
      </w:r>
      <w:r w:rsidRPr="00D4643C">
        <w:rPr>
          <w:rFonts w:asciiTheme="majorBidi" w:hAnsiTheme="majorBidi" w:cstheme="majorBidi"/>
          <w:color w:val="000000" w:themeColor="text1"/>
          <w:sz w:val="20"/>
          <w:szCs w:val="20"/>
        </w:rPr>
        <w:t xml:space="preserve"> M. </w:t>
      </w:r>
      <w:proofErr w:type="spellStart"/>
      <w:r w:rsidRPr="00D4643C">
        <w:rPr>
          <w:rFonts w:asciiTheme="majorBidi" w:hAnsiTheme="majorBidi" w:cstheme="majorBidi"/>
          <w:color w:val="000000" w:themeColor="text1"/>
          <w:sz w:val="20"/>
          <w:szCs w:val="20"/>
        </w:rPr>
        <w:t>Leva</w:t>
      </w:r>
      <w:r>
        <w:rPr>
          <w:rFonts w:asciiTheme="majorBidi" w:hAnsiTheme="majorBidi" w:cstheme="majorBidi"/>
          <w:color w:val="000000" w:themeColor="text1"/>
          <w:sz w:val="20"/>
          <w:szCs w:val="20"/>
        </w:rPr>
        <w:t>non</w:t>
      </w:r>
      <w:proofErr w:type="spellEnd"/>
      <w:r>
        <w:rPr>
          <w:rFonts w:asciiTheme="majorBidi" w:hAnsiTheme="majorBidi" w:cstheme="majorBidi"/>
          <w:color w:val="000000" w:themeColor="text1"/>
          <w:sz w:val="20"/>
          <w:szCs w:val="20"/>
        </w:rPr>
        <w:t xml:space="preserve">, A.M. </w:t>
      </w:r>
      <w:proofErr w:type="spellStart"/>
      <w:r>
        <w:rPr>
          <w:rFonts w:asciiTheme="majorBidi" w:hAnsiTheme="majorBidi" w:cstheme="majorBidi"/>
          <w:color w:val="000000" w:themeColor="text1"/>
          <w:sz w:val="20"/>
          <w:szCs w:val="20"/>
        </w:rPr>
        <w:t>Apelbom</w:t>
      </w:r>
      <w:proofErr w:type="spellEnd"/>
      <w:r>
        <w:rPr>
          <w:rFonts w:asciiTheme="majorBidi" w:hAnsiTheme="majorBidi" w:cstheme="majorBidi"/>
          <w:color w:val="000000" w:themeColor="text1"/>
          <w:sz w:val="20"/>
          <w:szCs w:val="20"/>
        </w:rPr>
        <w:t xml:space="preserve">, H. </w:t>
      </w:r>
      <w:proofErr w:type="spellStart"/>
      <w:r>
        <w:rPr>
          <w:rFonts w:asciiTheme="majorBidi" w:hAnsiTheme="majorBidi" w:cstheme="majorBidi"/>
          <w:color w:val="000000" w:themeColor="text1"/>
          <w:sz w:val="20"/>
          <w:szCs w:val="20"/>
        </w:rPr>
        <w:t>Kitzinger</w:t>
      </w:r>
      <w:proofErr w:type="spellEnd"/>
      <w:r w:rsidRPr="00D4643C">
        <w:rPr>
          <w:rFonts w:asciiTheme="majorBidi" w:hAnsiTheme="majorBidi" w:cstheme="majorBidi"/>
          <w:color w:val="000000" w:themeColor="text1"/>
          <w:sz w:val="20"/>
          <w:szCs w:val="20"/>
        </w:rPr>
        <w:t xml:space="preserve"> &amp; A. </w:t>
      </w:r>
      <w:proofErr w:type="spellStart"/>
      <w:r w:rsidRPr="00D4643C">
        <w:rPr>
          <w:rFonts w:asciiTheme="majorBidi" w:hAnsiTheme="majorBidi" w:cstheme="majorBidi"/>
          <w:color w:val="000000" w:themeColor="text1"/>
          <w:sz w:val="20"/>
          <w:szCs w:val="20"/>
        </w:rPr>
        <w:t>Gorali</w:t>
      </w:r>
      <w:proofErr w:type="spellEnd"/>
      <w:r w:rsidRPr="00D4643C">
        <w:rPr>
          <w:rFonts w:asciiTheme="majorBidi" w:hAnsiTheme="majorBidi" w:cstheme="majorBidi"/>
          <w:color w:val="000000" w:themeColor="text1"/>
          <w:sz w:val="20"/>
          <w:szCs w:val="20"/>
        </w:rPr>
        <w:t xml:space="preserve"> (eds.), </w:t>
      </w:r>
      <w:r w:rsidRPr="00D4643C">
        <w:rPr>
          <w:rFonts w:asciiTheme="majorBidi" w:hAnsiTheme="majorBidi" w:cstheme="majorBidi"/>
          <w:i/>
          <w:iCs/>
          <w:color w:val="000000" w:themeColor="text1"/>
          <w:sz w:val="20"/>
          <w:szCs w:val="20"/>
        </w:rPr>
        <w:t>Annotated Law Reports</w:t>
      </w:r>
      <w:r w:rsidRPr="00D4643C">
        <w:rPr>
          <w:rFonts w:asciiTheme="majorBidi" w:hAnsiTheme="majorBidi" w:cstheme="majorBidi"/>
          <w:color w:val="000000" w:themeColor="text1"/>
          <w:sz w:val="20"/>
          <w:szCs w:val="20"/>
        </w:rPr>
        <w:t>, Tel Aviv</w:t>
      </w:r>
      <w:r>
        <w:rPr>
          <w:rFonts w:asciiTheme="majorBidi" w:hAnsiTheme="majorBidi" w:cstheme="majorBidi"/>
          <w:color w:val="000000" w:themeColor="text1"/>
          <w:sz w:val="20"/>
          <w:szCs w:val="20"/>
        </w:rPr>
        <w:t>,</w:t>
      </w:r>
      <w:r w:rsidRPr="00D4643C">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 xml:space="preserve">S. </w:t>
      </w:r>
      <w:proofErr w:type="spellStart"/>
      <w:r>
        <w:rPr>
          <w:rFonts w:asciiTheme="majorBidi" w:hAnsiTheme="majorBidi" w:cstheme="majorBidi"/>
          <w:color w:val="000000" w:themeColor="text1"/>
          <w:sz w:val="20"/>
          <w:szCs w:val="20"/>
        </w:rPr>
        <w:t>Bursi</w:t>
      </w:r>
      <w:proofErr w:type="spellEnd"/>
      <w:r>
        <w:rPr>
          <w:rFonts w:asciiTheme="majorBidi" w:hAnsiTheme="majorBidi" w:cstheme="majorBidi"/>
          <w:color w:val="000000" w:themeColor="text1"/>
          <w:sz w:val="20"/>
          <w:szCs w:val="20"/>
        </w:rPr>
        <w:t>,</w:t>
      </w:r>
      <w:r w:rsidRPr="00D4643C">
        <w:rPr>
          <w:rFonts w:asciiTheme="majorBidi" w:hAnsiTheme="majorBidi" w:cstheme="majorBidi"/>
          <w:color w:val="000000" w:themeColor="text1"/>
          <w:sz w:val="20"/>
          <w:szCs w:val="20"/>
        </w:rPr>
        <w:t xml:space="preserve"> I, 1946, 116 (emphasis added).</w:t>
      </w:r>
    </w:p>
  </w:footnote>
  <w:footnote w:id="30">
    <w:p w:rsidR="00A7663B" w:rsidRPr="00D4643C" w:rsidRDefault="00A7663B" w:rsidP="00D4643C">
      <w:pPr>
        <w:pStyle w:val="FootnoteText"/>
        <w:jc w:val="both"/>
        <w:rPr>
          <w:rFonts w:asciiTheme="majorBidi" w:hAnsiTheme="majorBidi" w:cstheme="majorBidi"/>
          <w:color w:val="000000" w:themeColor="text1"/>
          <w:szCs w:val="20"/>
          <w:rtl/>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shd w:val="clear" w:color="auto" w:fill="FFFFFF"/>
        </w:rPr>
        <w:t>Jordanian-Israeli General Armistice Agreement</w:t>
      </w:r>
      <w:r>
        <w:rPr>
          <w:rFonts w:asciiTheme="majorBidi" w:hAnsiTheme="majorBidi" w:cstheme="majorBidi"/>
          <w:color w:val="000000" w:themeColor="text1"/>
          <w:szCs w:val="20"/>
          <w:shd w:val="clear" w:color="auto" w:fill="FFFFFF"/>
        </w:rPr>
        <w:t>, 42 UNTS 304 (entry into force</w:t>
      </w:r>
      <w:r w:rsidRPr="00D4643C">
        <w:rPr>
          <w:rFonts w:asciiTheme="majorBidi" w:hAnsiTheme="majorBidi" w:cstheme="majorBidi"/>
          <w:color w:val="000000" w:themeColor="text1"/>
          <w:szCs w:val="20"/>
          <w:shd w:val="clear" w:color="auto" w:fill="FFFFFF"/>
        </w:rPr>
        <w:t xml:space="preserve"> 3 Apr. 1949).</w:t>
      </w:r>
    </w:p>
  </w:footnote>
  <w:footnote w:id="31">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Additional Law of 13 January 1949 of the [Trans-Jordan] Nationality Law. United Nations, </w:t>
      </w:r>
      <w:r w:rsidRPr="00D4643C">
        <w:rPr>
          <w:rFonts w:asciiTheme="majorBidi" w:hAnsiTheme="majorBidi" w:cstheme="majorBidi"/>
          <w:i/>
          <w:iCs/>
          <w:color w:val="000000" w:themeColor="text1"/>
          <w:szCs w:val="20"/>
        </w:rPr>
        <w:t>Laws Concerning Nationality</w:t>
      </w:r>
      <w:r w:rsidRPr="00D4643C">
        <w:rPr>
          <w:rFonts w:asciiTheme="majorBidi" w:hAnsiTheme="majorBidi" w:cstheme="majorBidi"/>
          <w:color w:val="000000" w:themeColor="text1"/>
          <w:szCs w:val="20"/>
        </w:rPr>
        <w:t>, New York, 1954, 277.</w:t>
      </w:r>
    </w:p>
  </w:footnote>
  <w:footnote w:id="3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Annex to Passports Law No. 5 of 1942: Temporary Law No. 11 of 1949. Jordan Official Gazette, No. 970, 14 Feb. 1949, 40.</w:t>
      </w:r>
    </w:p>
  </w:footnote>
  <w:footnote w:id="33">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Jordan Official Gazette, No. 1171, 16 Feb. 1954, 105.</w:t>
      </w:r>
    </w:p>
  </w:footnote>
  <w:footnote w:id="34">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lang w:bidi="ar-SA"/>
        </w:rPr>
        <w:t>Order C</w:t>
      </w:r>
      <w:r w:rsidRPr="00D4643C">
        <w:rPr>
          <w:rFonts w:asciiTheme="majorBidi" w:hAnsiTheme="majorBidi" w:cstheme="majorBidi"/>
          <w:color w:val="000000" w:themeColor="text1"/>
          <w:szCs w:val="20"/>
          <w:lang w:bidi="ar-SA"/>
        </w:rPr>
        <w:t xml:space="preserve">oncerning </w:t>
      </w:r>
      <w:proofErr w:type="spellStart"/>
      <w:r w:rsidRPr="00D4643C">
        <w:rPr>
          <w:rFonts w:asciiTheme="majorBidi" w:hAnsiTheme="majorBidi" w:cstheme="majorBidi"/>
          <w:color w:val="000000" w:themeColor="text1"/>
          <w:szCs w:val="20"/>
          <w:lang w:bidi="ar-SA"/>
        </w:rPr>
        <w:t>Alenby</w:t>
      </w:r>
      <w:proofErr w:type="spellEnd"/>
      <w:r w:rsidRPr="00D4643C">
        <w:rPr>
          <w:rFonts w:asciiTheme="majorBidi" w:hAnsiTheme="majorBidi" w:cstheme="majorBidi"/>
          <w:color w:val="000000" w:themeColor="text1"/>
          <w:szCs w:val="20"/>
          <w:lang w:bidi="ar-SA"/>
        </w:rPr>
        <w:t xml:space="preserve"> Bridge Crossing Station (West Bank) No. 175 of</w:t>
      </w:r>
      <w:r w:rsidRPr="00D4643C">
        <w:rPr>
          <w:rFonts w:asciiTheme="majorBidi" w:hAnsiTheme="majorBidi" w:cstheme="majorBidi"/>
          <w:color w:val="000000" w:themeColor="text1"/>
          <w:szCs w:val="20"/>
        </w:rPr>
        <w:t xml:space="preserve"> 30 Nov. 1967. Israeli Army, </w:t>
      </w:r>
      <w:r w:rsidRPr="00D4643C">
        <w:rPr>
          <w:rFonts w:asciiTheme="majorBidi" w:hAnsiTheme="majorBidi" w:cstheme="majorBidi"/>
          <w:i/>
          <w:iCs/>
          <w:color w:val="000000" w:themeColor="text1"/>
          <w:szCs w:val="20"/>
        </w:rPr>
        <w:t>Proclamations, Orders and Appointments (West Bank)</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9, 1968, 355.</w:t>
      </w:r>
    </w:p>
  </w:footnote>
  <w:footnote w:id="35">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Order C</w:t>
      </w:r>
      <w:r w:rsidRPr="00D4643C">
        <w:rPr>
          <w:rFonts w:asciiTheme="majorBidi" w:hAnsiTheme="majorBidi" w:cstheme="majorBidi"/>
          <w:color w:val="000000" w:themeColor="text1"/>
          <w:szCs w:val="20"/>
        </w:rPr>
        <w:t>oncerning Identit</w:t>
      </w:r>
      <w:r>
        <w:rPr>
          <w:rFonts w:asciiTheme="majorBidi" w:hAnsiTheme="majorBidi" w:cstheme="majorBidi"/>
          <w:color w:val="000000" w:themeColor="text1"/>
          <w:szCs w:val="20"/>
        </w:rPr>
        <w:t>y Card No. 234 of 17 Mar. 1968 (</w:t>
      </w:r>
      <w:r w:rsidRPr="00D4643C">
        <w:rPr>
          <w:rFonts w:asciiTheme="majorBidi" w:hAnsiTheme="majorBidi" w:cstheme="majorBidi"/>
          <w:color w:val="000000" w:themeColor="text1"/>
          <w:szCs w:val="20"/>
        </w:rPr>
        <w:t xml:space="preserve">Israeli Army, </w:t>
      </w:r>
      <w:r w:rsidRPr="00D4643C">
        <w:rPr>
          <w:rFonts w:asciiTheme="majorBidi" w:hAnsiTheme="majorBidi" w:cstheme="majorBidi"/>
          <w:i/>
          <w:iCs/>
          <w:color w:val="000000" w:themeColor="text1"/>
          <w:szCs w:val="20"/>
        </w:rPr>
        <w:t>Proclamations, Orders and Appointments (West Bank)</w:t>
      </w:r>
      <w:r>
        <w:rPr>
          <w:rFonts w:asciiTheme="majorBidi" w:hAnsiTheme="majorBidi" w:cstheme="majorBidi"/>
          <w:color w:val="000000" w:themeColor="text1"/>
          <w:szCs w:val="20"/>
        </w:rPr>
        <w:t>, 12, 1969, 480); and Order C</w:t>
      </w:r>
      <w:r w:rsidRPr="00D4643C">
        <w:rPr>
          <w:rFonts w:asciiTheme="majorBidi" w:hAnsiTheme="majorBidi" w:cstheme="majorBidi"/>
          <w:color w:val="000000" w:themeColor="text1"/>
          <w:szCs w:val="20"/>
        </w:rPr>
        <w:t xml:space="preserve">oncerning Identity Card and Population Registration No. 297 of 8 Jan. 1969 (Israeli Army, </w:t>
      </w:r>
      <w:r w:rsidRPr="00D4643C">
        <w:rPr>
          <w:rFonts w:asciiTheme="majorBidi" w:hAnsiTheme="majorBidi" w:cstheme="majorBidi"/>
          <w:i/>
          <w:iCs/>
          <w:color w:val="000000" w:themeColor="text1"/>
          <w:szCs w:val="20"/>
        </w:rPr>
        <w:t>Proclamations, Orders and Appointments (West Bank)</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19, 1969, 609).</w:t>
      </w:r>
      <w:r>
        <w:rPr>
          <w:rFonts w:asciiTheme="majorBidi" w:hAnsiTheme="majorBidi" w:cstheme="majorBidi"/>
          <w:color w:val="000000" w:themeColor="text1"/>
          <w:szCs w:val="20"/>
        </w:rPr>
        <w:t xml:space="preserve"> For a number of years during the first Palestinian uprising/</w:t>
      </w:r>
      <w:r w:rsidRPr="001A5A52">
        <w:rPr>
          <w:rFonts w:asciiTheme="majorBidi" w:hAnsiTheme="majorBidi" w:cstheme="majorBidi"/>
          <w:i/>
          <w:iCs/>
          <w:color w:val="000000" w:themeColor="text1"/>
          <w:szCs w:val="20"/>
        </w:rPr>
        <w:t>intifada</w:t>
      </w:r>
      <w:r>
        <w:rPr>
          <w:rFonts w:asciiTheme="majorBidi" w:hAnsiTheme="majorBidi" w:cstheme="majorBidi"/>
          <w:color w:val="000000" w:themeColor="text1"/>
          <w:szCs w:val="20"/>
        </w:rPr>
        <w:t xml:space="preserve"> (1988-1993), Israel issued green identity cards to former political prisoners who were held in Israeli jails as an indication that these ex-prisoners are potential security threat. After the establishment of the Palestinian Authority in 1994, orange cards for inhabitants of the West Bank and Gaza were replaced with green identity cards.</w:t>
      </w:r>
      <w:r w:rsidRPr="009F6711">
        <w:rPr>
          <w:rFonts w:asciiTheme="majorBidi" w:hAnsiTheme="majorBidi" w:cstheme="majorBidi"/>
          <w:color w:val="000000" w:themeColor="text1"/>
          <w:szCs w:val="20"/>
        </w:rPr>
        <w:t xml:space="preserve"> See below footnote 106.</w:t>
      </w:r>
      <w:r>
        <w:rPr>
          <w:rFonts w:asciiTheme="majorBidi" w:hAnsiTheme="majorBidi" w:cstheme="majorBidi"/>
          <w:color w:val="000000" w:themeColor="text1"/>
          <w:szCs w:val="20"/>
        </w:rPr>
        <w:t xml:space="preserve"> </w:t>
      </w:r>
    </w:p>
  </w:footnote>
  <w:footnote w:id="36">
    <w:p w:rsidR="00A7663B" w:rsidRPr="00D4643C" w:rsidRDefault="00A7663B" w:rsidP="002356F9">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J. Mohammad, </w:t>
      </w:r>
      <w:r w:rsidRPr="00D4643C">
        <w:rPr>
          <w:rFonts w:asciiTheme="majorBidi" w:hAnsiTheme="majorBidi" w:cstheme="majorBidi"/>
          <w:i/>
          <w:iCs/>
          <w:color w:val="000000" w:themeColor="text1"/>
          <w:szCs w:val="20"/>
        </w:rPr>
        <w:t>Identity Card Losers</w:t>
      </w:r>
      <w:r w:rsidRPr="00D4643C">
        <w:rPr>
          <w:rFonts w:asciiTheme="majorBidi" w:hAnsiTheme="majorBidi" w:cstheme="majorBidi"/>
          <w:color w:val="000000" w:themeColor="text1"/>
          <w:szCs w:val="20"/>
        </w:rPr>
        <w:t>, Ramallah</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Palestinian Independent Commission for Citizen</w:t>
      </w:r>
      <w:r w:rsidRPr="00D4643C">
        <w:rPr>
          <w:rFonts w:asciiTheme="majorBidi" w:hAnsiTheme="majorBidi" w:cstheme="majorBidi"/>
          <w:color w:val="000000" w:themeColor="text1"/>
          <w:szCs w:val="20"/>
          <w:lang w:val="en-GB"/>
        </w:rPr>
        <w:t>’</w:t>
      </w:r>
      <w:r>
        <w:rPr>
          <w:rFonts w:asciiTheme="majorBidi" w:hAnsiTheme="majorBidi" w:cstheme="majorBidi"/>
          <w:color w:val="000000" w:themeColor="text1"/>
          <w:szCs w:val="20"/>
        </w:rPr>
        <w:t>s Rights</w:t>
      </w:r>
      <w:r w:rsidRPr="00D4643C">
        <w:rPr>
          <w:rFonts w:asciiTheme="majorBidi" w:hAnsiTheme="majorBidi" w:cstheme="majorBidi"/>
          <w:color w:val="000000" w:themeColor="text1"/>
          <w:szCs w:val="20"/>
        </w:rPr>
        <w:t xml:space="preserve">, 1998, 17. </w:t>
      </w:r>
    </w:p>
  </w:footnote>
  <w:footnote w:id="3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w:t>
      </w:r>
      <w:r w:rsidRPr="002356F9">
        <w:rPr>
          <w:rFonts w:asciiTheme="majorBidi" w:hAnsiTheme="majorBidi" w:cstheme="majorBidi"/>
          <w:i/>
          <w:iCs/>
          <w:color w:val="000000" w:themeColor="text1"/>
          <w:szCs w:val="20"/>
        </w:rPr>
        <w:t>Ibid.</w:t>
      </w:r>
      <w:r w:rsidRPr="00D4643C">
        <w:rPr>
          <w:rFonts w:asciiTheme="majorBidi" w:hAnsiTheme="majorBidi" w:cstheme="majorBidi"/>
          <w:color w:val="000000" w:themeColor="text1"/>
          <w:szCs w:val="20"/>
        </w:rPr>
        <w:t>, 18</w:t>
      </w:r>
    </w:p>
  </w:footnote>
  <w:footnote w:id="3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Order Concerning Identity Cards and Population Registration (Amendment 17) No. 1206 of 13 Sep. 1987 (Israeli Army, </w:t>
      </w:r>
      <w:r w:rsidRPr="00D4643C">
        <w:rPr>
          <w:rFonts w:asciiTheme="majorBidi" w:hAnsiTheme="majorBidi" w:cstheme="majorBidi"/>
          <w:i/>
          <w:iCs/>
          <w:color w:val="000000" w:themeColor="text1"/>
          <w:szCs w:val="20"/>
        </w:rPr>
        <w:t>Proclamations, Orders and Appointments (West Bank)</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76, 1990, 97). This Order </w:t>
      </w:r>
      <w:r>
        <w:rPr>
          <w:rFonts w:asciiTheme="majorBidi" w:hAnsiTheme="majorBidi" w:cstheme="majorBidi"/>
          <w:color w:val="000000" w:themeColor="text1"/>
          <w:szCs w:val="20"/>
        </w:rPr>
        <w:t xml:space="preserve">was </w:t>
      </w:r>
      <w:r w:rsidRPr="00D4643C">
        <w:rPr>
          <w:rFonts w:asciiTheme="majorBidi" w:hAnsiTheme="majorBidi" w:cstheme="majorBidi"/>
          <w:color w:val="000000" w:themeColor="text1"/>
          <w:szCs w:val="20"/>
        </w:rPr>
        <w:t xml:space="preserve">changed only in 1995 to allow registration of children born abroad until they attain 18 years of age. Order Concerning Identity Cards and Population Registration (Amendment 23) No. 1421 of 17 Jan. 1995 (Israeli Army, </w:t>
      </w:r>
      <w:r w:rsidRPr="00D4643C">
        <w:rPr>
          <w:rFonts w:asciiTheme="majorBidi" w:hAnsiTheme="majorBidi" w:cstheme="majorBidi"/>
          <w:i/>
          <w:iCs/>
          <w:color w:val="000000" w:themeColor="text1"/>
          <w:szCs w:val="20"/>
        </w:rPr>
        <w:t>Proclamations, Orders and Appointments (West Bank)</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159, 1995, 1752). The latter Order came in the context of the Oslo Accords. </w:t>
      </w:r>
      <w:r>
        <w:rPr>
          <w:rFonts w:asciiTheme="majorBidi" w:hAnsiTheme="majorBidi" w:cstheme="majorBidi"/>
          <w:color w:val="000000" w:themeColor="text1"/>
          <w:szCs w:val="20"/>
        </w:rPr>
        <w:t>See</w:t>
      </w:r>
      <w:r w:rsidRPr="00D4643C">
        <w:rPr>
          <w:rFonts w:asciiTheme="majorBidi" w:hAnsiTheme="majorBidi" w:cstheme="majorBidi"/>
          <w:color w:val="000000" w:themeColor="text1"/>
          <w:szCs w:val="20"/>
        </w:rPr>
        <w:t xml:space="preserve"> below </w:t>
      </w:r>
      <w:r>
        <w:rPr>
          <w:rFonts w:asciiTheme="majorBidi" w:hAnsiTheme="majorBidi" w:cstheme="majorBidi"/>
          <w:color w:val="000000" w:themeColor="text1"/>
          <w:szCs w:val="20"/>
        </w:rPr>
        <w:t>footnote 107</w:t>
      </w:r>
      <w:r w:rsidRPr="00D4643C">
        <w:rPr>
          <w:rFonts w:asciiTheme="majorBidi" w:hAnsiTheme="majorBidi" w:cstheme="majorBidi"/>
          <w:color w:val="000000" w:themeColor="text1"/>
          <w:szCs w:val="20"/>
        </w:rPr>
        <w:t>.</w:t>
      </w:r>
    </w:p>
  </w:footnote>
  <w:footnote w:id="39">
    <w:p w:rsidR="00A7663B" w:rsidRPr="00D4643C" w:rsidRDefault="00A7663B" w:rsidP="00D4643C">
      <w:pPr>
        <w:pStyle w:val="FootnoteText"/>
        <w:jc w:val="both"/>
        <w:rPr>
          <w:rFonts w:asciiTheme="majorBid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J.R. </w:t>
      </w:r>
      <w:proofErr w:type="spellStart"/>
      <w:r w:rsidRPr="00D4643C">
        <w:rPr>
          <w:rFonts w:asciiTheme="majorBidi" w:hAnsiTheme="majorBidi" w:cstheme="majorBidi"/>
          <w:color w:val="000000" w:themeColor="text1"/>
          <w:szCs w:val="20"/>
        </w:rPr>
        <w:t>Hiltermann</w:t>
      </w:r>
      <w:proofErr w:type="spellEnd"/>
      <w:r w:rsidRPr="00D4643C">
        <w:rPr>
          <w:rFonts w:asciiTheme="majorBidi" w:hAnsiTheme="majorBidi" w:cstheme="majorBidi"/>
          <w:color w:val="000000" w:themeColor="text1"/>
          <w:szCs w:val="20"/>
        </w:rPr>
        <w:t xml:space="preserve">, “Israel’s Deportation Policy in the Occupied West Bank and Gaza”, </w:t>
      </w:r>
      <w:r w:rsidRPr="00D4643C">
        <w:rPr>
          <w:rFonts w:asciiTheme="majorBidi" w:hAnsiTheme="majorBidi" w:cstheme="majorBidi"/>
          <w:i/>
          <w:iCs/>
          <w:color w:val="000000" w:themeColor="text1"/>
          <w:szCs w:val="20"/>
        </w:rPr>
        <w:t>Palestine Yearbook of International Law</w:t>
      </w:r>
      <w:r w:rsidRPr="00D4643C">
        <w:rPr>
          <w:rFonts w:asciiTheme="majorBidi" w:hAnsiTheme="majorBidi" w:cstheme="majorBidi"/>
          <w:color w:val="000000" w:themeColor="text1"/>
          <w:szCs w:val="20"/>
        </w:rPr>
        <w:t xml:space="preserve"> 3, 1986, 154-185; Y. </w:t>
      </w:r>
      <w:proofErr w:type="spellStart"/>
      <w:r w:rsidRPr="00D4643C">
        <w:rPr>
          <w:rFonts w:asciiTheme="majorBidi" w:hAnsiTheme="majorBidi" w:cstheme="majorBidi"/>
          <w:color w:val="000000" w:themeColor="text1"/>
          <w:szCs w:val="20"/>
        </w:rPr>
        <w:t>Dinstein</w:t>
      </w:r>
      <w:proofErr w:type="spellEnd"/>
      <w:r w:rsidRPr="00D4643C">
        <w:rPr>
          <w:rFonts w:asciiTheme="majorBidi" w:hAnsiTheme="majorBidi" w:cstheme="majorBidi"/>
          <w:color w:val="000000" w:themeColor="text1"/>
          <w:szCs w:val="20"/>
        </w:rPr>
        <w:t xml:space="preserve">, “The Israel Supreme Court and the Law of Belligerent Occupation: Deportations”, </w:t>
      </w:r>
      <w:r w:rsidRPr="00D4643C">
        <w:rPr>
          <w:rFonts w:asciiTheme="majorBidi" w:hAnsiTheme="majorBidi" w:cstheme="majorBidi"/>
          <w:i/>
          <w:iCs/>
          <w:color w:val="000000" w:themeColor="text1"/>
          <w:szCs w:val="20"/>
        </w:rPr>
        <w:t>Israel Yearbook on Human Rights</w:t>
      </w:r>
      <w:r w:rsidRPr="00D4643C">
        <w:rPr>
          <w:rFonts w:asciiTheme="majorBidi" w:hAnsiTheme="majorBidi" w:cstheme="majorBidi"/>
          <w:color w:val="000000" w:themeColor="text1"/>
          <w:szCs w:val="20"/>
        </w:rPr>
        <w:t xml:space="preserve"> 23, 1993, 1-26; and</w:t>
      </w:r>
      <w:r w:rsidRPr="00D4643C">
        <w:rPr>
          <w:rFonts w:asciiTheme="majorBidi" w:eastAsiaTheme="minorHAnsi" w:hAnsiTheme="majorBidi" w:cstheme="majorBidi"/>
          <w:color w:val="000000" w:themeColor="text1"/>
          <w:szCs w:val="20"/>
          <w:lang w:bidi="he-IL"/>
        </w:rPr>
        <w:t xml:space="preserve"> I.G.M. </w:t>
      </w:r>
      <w:proofErr w:type="spellStart"/>
      <w:r w:rsidRPr="00D4643C">
        <w:rPr>
          <w:rFonts w:asciiTheme="majorBidi" w:eastAsiaTheme="minorHAnsi" w:hAnsiTheme="majorBidi" w:cstheme="majorBidi"/>
          <w:color w:val="000000" w:themeColor="text1"/>
          <w:szCs w:val="20"/>
          <w:lang w:bidi="he-IL"/>
        </w:rPr>
        <w:t>Scobbie</w:t>
      </w:r>
      <w:proofErr w:type="spellEnd"/>
      <w:r w:rsidRPr="00D4643C">
        <w:rPr>
          <w:rFonts w:asciiTheme="majorBidi" w:eastAsiaTheme="minorHAnsi" w:hAnsiTheme="majorBidi" w:cstheme="majorBidi"/>
          <w:color w:val="000000" w:themeColor="text1"/>
          <w:szCs w:val="20"/>
          <w:lang w:bidi="he-IL"/>
        </w:rPr>
        <w:t xml:space="preserve">, S.L. </w:t>
      </w:r>
      <w:proofErr w:type="spellStart"/>
      <w:r w:rsidRPr="00D4643C">
        <w:rPr>
          <w:rFonts w:asciiTheme="majorBidi" w:eastAsiaTheme="minorHAnsi" w:hAnsiTheme="majorBidi" w:cstheme="majorBidi"/>
          <w:color w:val="000000" w:themeColor="text1"/>
          <w:szCs w:val="20"/>
          <w:lang w:bidi="he-IL"/>
        </w:rPr>
        <w:t>Hibbin</w:t>
      </w:r>
      <w:proofErr w:type="spellEnd"/>
      <w:r w:rsidRPr="00D4643C">
        <w:rPr>
          <w:rFonts w:asciiTheme="majorBidi" w:eastAsiaTheme="minorHAnsi" w:hAnsiTheme="majorBidi" w:cstheme="majorBidi"/>
          <w:color w:val="000000" w:themeColor="text1"/>
          <w:szCs w:val="20"/>
          <w:lang w:bidi="he-IL"/>
        </w:rPr>
        <w:t xml:space="preserve">, &amp;, A. </w:t>
      </w:r>
      <w:proofErr w:type="spellStart"/>
      <w:r w:rsidRPr="00D4643C">
        <w:rPr>
          <w:rFonts w:asciiTheme="majorBidi" w:eastAsiaTheme="minorHAnsi" w:hAnsiTheme="majorBidi" w:cstheme="majorBidi"/>
          <w:color w:val="000000" w:themeColor="text1"/>
          <w:szCs w:val="20"/>
          <w:lang w:bidi="he-IL"/>
        </w:rPr>
        <w:t>Margalit</w:t>
      </w:r>
      <w:proofErr w:type="spellEnd"/>
      <w:r w:rsidRPr="00D4643C">
        <w:rPr>
          <w:rFonts w:asciiTheme="majorBidi" w:eastAsiaTheme="minorHAnsi" w:hAnsiTheme="majorBidi" w:cstheme="majorBidi"/>
          <w:color w:val="000000" w:themeColor="text1"/>
          <w:szCs w:val="20"/>
          <w:lang w:bidi="he-IL"/>
        </w:rPr>
        <w:t xml:space="preserve">, </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Palest</w:t>
      </w:r>
      <w:r>
        <w:rPr>
          <w:rFonts w:asciiTheme="majorBidi" w:eastAsiaTheme="minorHAnsi" w:hAnsiTheme="majorBidi" w:cstheme="majorBidi"/>
          <w:color w:val="000000" w:themeColor="text1"/>
          <w:szCs w:val="20"/>
          <w:lang w:bidi="he-IL"/>
        </w:rPr>
        <w:t>ine/West Bank and Gaza - Israel</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s Policy of Expelling Palestinian Inhabitants from the West Bank to Gaza</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hAnsiTheme="majorBidi" w:cstheme="majorBidi"/>
          <w:color w:val="000000" w:themeColor="text1"/>
          <w:szCs w:val="20"/>
          <w:shd w:val="clear" w:color="auto" w:fill="FFFFFF"/>
        </w:rPr>
        <w:t> </w:t>
      </w:r>
      <w:r w:rsidRPr="00D4643C">
        <w:rPr>
          <w:rFonts w:asciiTheme="majorBidi" w:hAnsiTheme="majorBidi" w:cstheme="majorBidi"/>
          <w:i/>
          <w:iCs/>
          <w:color w:val="000000" w:themeColor="text1"/>
          <w:szCs w:val="20"/>
        </w:rPr>
        <w:t>Yearbook of Islamic and Middle Eastern Law</w:t>
      </w:r>
      <w:r w:rsidRPr="00D4643C">
        <w:rPr>
          <w:rFonts w:asciiTheme="majorBidi" w:hAnsiTheme="majorBidi" w:cstheme="majorBidi"/>
          <w:color w:val="000000" w:themeColor="text1"/>
          <w:szCs w:val="20"/>
          <w:shd w:val="clear" w:color="auto" w:fill="FFFFFF"/>
        </w:rPr>
        <w:t xml:space="preserve"> 15, 288-325.</w:t>
      </w:r>
    </w:p>
  </w:footnote>
  <w:footnote w:id="40">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Mohammad, </w:t>
      </w:r>
      <w:r w:rsidRPr="00D4643C">
        <w:rPr>
          <w:rFonts w:asciiTheme="majorBidi" w:hAnsiTheme="majorBidi" w:cstheme="majorBidi"/>
          <w:i/>
          <w:iCs/>
          <w:color w:val="000000" w:themeColor="text1"/>
          <w:szCs w:val="20"/>
        </w:rPr>
        <w:t>Identity Card Losers</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 xml:space="preserve">above </w:t>
      </w:r>
      <w:r>
        <w:rPr>
          <w:rFonts w:asciiTheme="majorBidi" w:hAnsiTheme="majorBidi" w:cstheme="majorBidi"/>
          <w:color w:val="000000" w:themeColor="text1"/>
          <w:szCs w:val="20"/>
          <w:lang w:bidi="ar-SA"/>
        </w:rPr>
        <w:t>footnote 36</w:t>
      </w:r>
      <w:r w:rsidRPr="00D4643C">
        <w:rPr>
          <w:rFonts w:asciiTheme="majorBidi" w:hAnsiTheme="majorBidi" w:cstheme="majorBidi"/>
          <w:color w:val="000000" w:themeColor="text1"/>
          <w:szCs w:val="20"/>
        </w:rPr>
        <w:t>.</w:t>
      </w:r>
    </w:p>
  </w:footnote>
  <w:footnote w:id="41">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See below S</w:t>
      </w:r>
      <w:r w:rsidRPr="00D4643C">
        <w:rPr>
          <w:rFonts w:asciiTheme="majorBidi" w:hAnsiTheme="majorBidi" w:cstheme="majorBidi"/>
          <w:color w:val="000000" w:themeColor="text1"/>
          <w:szCs w:val="20"/>
        </w:rPr>
        <w:t>ection 4.</w:t>
      </w:r>
    </w:p>
  </w:footnote>
  <w:footnote w:id="4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Y. </w:t>
      </w:r>
      <w:proofErr w:type="spellStart"/>
      <w:r w:rsidRPr="00D4643C">
        <w:rPr>
          <w:rFonts w:asciiTheme="majorBidi" w:hAnsiTheme="majorBidi" w:cstheme="majorBidi"/>
          <w:color w:val="000000" w:themeColor="text1"/>
          <w:szCs w:val="20"/>
        </w:rPr>
        <w:t>Dinstein</w:t>
      </w:r>
      <w:proofErr w:type="spellEnd"/>
      <w:r w:rsidRPr="00D4643C">
        <w:rPr>
          <w:rFonts w:asciiTheme="majorBidi" w:hAnsiTheme="majorBidi" w:cstheme="majorBidi"/>
          <w:color w:val="000000" w:themeColor="text1"/>
          <w:szCs w:val="20"/>
        </w:rPr>
        <w:t xml:space="preserve">, “The Israel Supreme Court and the Law of Belligerent Occupation: Reunification of Families”, </w:t>
      </w:r>
      <w:r w:rsidRPr="002356F9">
        <w:rPr>
          <w:rFonts w:asciiTheme="majorBidi" w:hAnsiTheme="majorBidi" w:cstheme="majorBidi"/>
          <w:i/>
          <w:iCs/>
          <w:color w:val="000000" w:themeColor="text1"/>
          <w:szCs w:val="20"/>
        </w:rPr>
        <w:t>Israel Yearbook on Human Rights</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18, 1988</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173-188; and I. </w:t>
      </w:r>
      <w:proofErr w:type="spellStart"/>
      <w:r w:rsidRPr="00D4643C">
        <w:rPr>
          <w:rFonts w:asciiTheme="majorBidi" w:hAnsiTheme="majorBidi" w:cstheme="majorBidi"/>
          <w:color w:val="000000" w:themeColor="text1"/>
          <w:szCs w:val="20"/>
        </w:rPr>
        <w:t>Brownlie</w:t>
      </w:r>
      <w:proofErr w:type="spellEnd"/>
      <w:r w:rsidRPr="00D4643C">
        <w:rPr>
          <w:rFonts w:asciiTheme="majorBidi" w:hAnsiTheme="majorBidi" w:cstheme="majorBidi"/>
          <w:color w:val="000000" w:themeColor="text1"/>
          <w:szCs w:val="20"/>
        </w:rPr>
        <w:t xml:space="preserve">, “The Application of Contemporary Standards of International Law to Cases Involving Separation of Husband and Wife as a Consequence of Administrative Action by the Israeli Authorities in the Occupied Territories”, </w:t>
      </w:r>
      <w:r w:rsidRPr="00D4643C">
        <w:rPr>
          <w:rFonts w:asciiTheme="majorBidi" w:hAnsiTheme="majorBidi" w:cstheme="majorBidi"/>
          <w:i/>
          <w:iCs/>
          <w:color w:val="000000" w:themeColor="text1"/>
          <w:szCs w:val="20"/>
        </w:rPr>
        <w:t>Palestine Yearbook of International Law</w:t>
      </w:r>
      <w:r w:rsidRPr="00D4643C">
        <w:rPr>
          <w:rFonts w:asciiTheme="majorBidi" w:hAnsiTheme="majorBidi" w:cstheme="majorBidi"/>
          <w:color w:val="000000" w:themeColor="text1"/>
          <w:szCs w:val="20"/>
        </w:rPr>
        <w:t xml:space="preserve"> 6, 1991, 113-122.</w:t>
      </w:r>
    </w:p>
  </w:footnote>
  <w:footnote w:id="43">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A.F. </w:t>
      </w:r>
      <w:proofErr w:type="spellStart"/>
      <w:r w:rsidRPr="00D4643C">
        <w:rPr>
          <w:rFonts w:asciiTheme="majorBidi" w:hAnsiTheme="majorBidi" w:cstheme="majorBidi"/>
          <w:color w:val="000000" w:themeColor="text1"/>
          <w:szCs w:val="20"/>
        </w:rPr>
        <w:t>Ka</w:t>
      </w:r>
      <w:r>
        <w:rPr>
          <w:rFonts w:asciiTheme="majorBidi" w:hAnsiTheme="majorBidi" w:cstheme="majorBidi"/>
          <w:color w:val="000000" w:themeColor="text1"/>
          <w:szCs w:val="20"/>
        </w:rPr>
        <w:t>s</w:t>
      </w:r>
      <w:r w:rsidRPr="00D4643C">
        <w:rPr>
          <w:rFonts w:asciiTheme="majorBidi" w:hAnsiTheme="majorBidi" w:cstheme="majorBidi"/>
          <w:color w:val="000000" w:themeColor="text1"/>
          <w:szCs w:val="20"/>
        </w:rPr>
        <w:t>sim</w:t>
      </w:r>
      <w:proofErr w:type="spellEnd"/>
      <w:r w:rsidRPr="00D4643C">
        <w:rPr>
          <w:rFonts w:asciiTheme="majorBidi" w:hAnsiTheme="majorBidi" w:cstheme="majorBidi"/>
          <w:color w:val="000000" w:themeColor="text1"/>
          <w:szCs w:val="20"/>
        </w:rPr>
        <w:t xml:space="preserve">, “The Legal Status of the Jordanian-Palestinian in Jordan”, </w:t>
      </w:r>
      <w:r>
        <w:rPr>
          <w:rFonts w:asciiTheme="majorBidi" w:hAnsiTheme="majorBidi" w:cstheme="majorBidi"/>
          <w:i/>
          <w:iCs/>
          <w:color w:val="000000" w:themeColor="text1"/>
          <w:szCs w:val="20"/>
        </w:rPr>
        <w:t>The Right of Return Magazine</w:t>
      </w:r>
      <w:r w:rsidRPr="00D4643C">
        <w:rPr>
          <w:rFonts w:asciiTheme="majorBidi" w:hAnsiTheme="majorBidi" w:cstheme="majorBidi"/>
          <w:color w:val="000000" w:themeColor="text1"/>
          <w:szCs w:val="20"/>
        </w:rPr>
        <w:t xml:space="preserve">, 13(63), </w:t>
      </w:r>
      <w:proofErr w:type="spellStart"/>
      <w:r w:rsidRPr="00D4643C">
        <w:rPr>
          <w:rFonts w:asciiTheme="majorBidi" w:hAnsiTheme="majorBidi" w:cstheme="majorBidi"/>
          <w:color w:val="000000" w:themeColor="text1"/>
          <w:szCs w:val="20"/>
        </w:rPr>
        <w:t>Badil</w:t>
      </w:r>
      <w:proofErr w:type="spellEnd"/>
      <w:r w:rsidRPr="00D4643C">
        <w:rPr>
          <w:rFonts w:asciiTheme="majorBidi" w:hAnsiTheme="majorBidi" w:cstheme="majorBidi"/>
          <w:color w:val="000000" w:themeColor="text1"/>
          <w:szCs w:val="20"/>
        </w:rPr>
        <w:t xml:space="preserve"> Re</w:t>
      </w:r>
      <w:r>
        <w:rPr>
          <w:rFonts w:asciiTheme="majorBidi" w:hAnsiTheme="majorBidi" w:cstheme="majorBidi"/>
          <w:color w:val="000000" w:themeColor="text1"/>
          <w:szCs w:val="20"/>
        </w:rPr>
        <w:t>source Center, Bethlehem, Aug.</w:t>
      </w:r>
      <w:r w:rsidRPr="00D4643C">
        <w:rPr>
          <w:rFonts w:asciiTheme="majorBidi" w:hAnsiTheme="majorBidi" w:cstheme="majorBidi"/>
          <w:color w:val="000000" w:themeColor="text1"/>
          <w:szCs w:val="20"/>
        </w:rPr>
        <w:t xml:space="preserve"> 2015, 8.</w:t>
      </w:r>
    </w:p>
  </w:footnote>
  <w:footnote w:id="44">
    <w:p w:rsidR="00A7663B" w:rsidRPr="00D4643C" w:rsidRDefault="00A7663B" w:rsidP="002356F9">
      <w:pPr>
        <w:pStyle w:val="FootnoteText"/>
        <w:jc w:val="both"/>
        <w:rPr>
          <w:rFonts w:asciiTheme="majorBid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“Termination of Jordan’s Ties with the West</w:t>
      </w:r>
      <w:r w:rsidRPr="00D4643C">
        <w:rPr>
          <w:rFonts w:asciiTheme="majorBidi" w:hAnsiTheme="majorBidi" w:cstheme="majorBidi"/>
          <w:color w:val="000000" w:themeColor="text1"/>
          <w:szCs w:val="20"/>
          <w:lang w:bidi="ar-SA"/>
        </w:rPr>
        <w:t xml:space="preserve"> </w:t>
      </w:r>
      <w:r w:rsidRPr="00D4643C">
        <w:rPr>
          <w:rFonts w:asciiTheme="majorBidi" w:hAnsiTheme="majorBidi" w:cstheme="majorBidi"/>
          <w:color w:val="000000" w:themeColor="text1"/>
          <w:szCs w:val="20"/>
        </w:rPr>
        <w:t xml:space="preserve">Bank”, in W.B. </w:t>
      </w:r>
      <w:proofErr w:type="spellStart"/>
      <w:r w:rsidRPr="00D4643C">
        <w:rPr>
          <w:rFonts w:asciiTheme="majorBidi" w:hAnsiTheme="majorBidi" w:cstheme="majorBidi"/>
          <w:color w:val="000000" w:themeColor="text1"/>
          <w:szCs w:val="20"/>
        </w:rPr>
        <w:t>Quandt</w:t>
      </w:r>
      <w:proofErr w:type="spellEnd"/>
      <w:r w:rsidRPr="00D4643C">
        <w:rPr>
          <w:rFonts w:asciiTheme="majorBidi" w:hAnsiTheme="majorBidi" w:cstheme="majorBidi"/>
          <w:color w:val="000000" w:themeColor="text1"/>
          <w:szCs w:val="20"/>
        </w:rPr>
        <w:t xml:space="preserve"> (ed.), </w:t>
      </w:r>
      <w:r w:rsidRPr="00D4643C">
        <w:rPr>
          <w:rFonts w:asciiTheme="majorBidi" w:hAnsiTheme="majorBidi" w:cstheme="majorBidi"/>
          <w:i/>
          <w:iCs/>
          <w:color w:val="000000" w:themeColor="text1"/>
          <w:szCs w:val="20"/>
        </w:rPr>
        <w:t>The Middle East: Ten Years after Camp David</w:t>
      </w:r>
      <w:r w:rsidRPr="00D4643C">
        <w:rPr>
          <w:rFonts w:asciiTheme="majorBidi" w:hAnsiTheme="majorBidi" w:cstheme="majorBidi"/>
          <w:color w:val="000000" w:themeColor="text1"/>
          <w:szCs w:val="20"/>
        </w:rPr>
        <w:t>, Washington, D.C.</w:t>
      </w:r>
      <w:r>
        <w:rPr>
          <w:rFonts w:asciiTheme="majorBidi" w:hAnsiTheme="majorBidi" w:cstheme="majorBidi"/>
          <w:color w:val="000000" w:themeColor="text1"/>
          <w:szCs w:val="20"/>
        </w:rPr>
        <w:t>, The Brookings Institution</w:t>
      </w:r>
      <w:r w:rsidRPr="00D4643C">
        <w:rPr>
          <w:rFonts w:asciiTheme="majorBidi" w:hAnsiTheme="majorBidi" w:cstheme="majorBidi"/>
          <w:color w:val="000000" w:themeColor="text1"/>
          <w:szCs w:val="20"/>
        </w:rPr>
        <w:t>, 1988, 494.</w:t>
      </w:r>
    </w:p>
  </w:footnote>
  <w:footnote w:id="45">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Jordanian Prime Minster Office, </w:t>
      </w:r>
      <w:r w:rsidRPr="00D4643C">
        <w:rPr>
          <w:rFonts w:asciiTheme="majorBidi" w:hAnsiTheme="majorBidi" w:cstheme="majorBidi"/>
          <w:i/>
          <w:iCs/>
          <w:color w:val="000000" w:themeColor="text1"/>
          <w:szCs w:val="20"/>
        </w:rPr>
        <w:t>Instructions on the Detachment of Legal and Administrative Ties with the West Bank</w:t>
      </w:r>
      <w:r w:rsidRPr="00D4643C">
        <w:rPr>
          <w:rFonts w:asciiTheme="majorBidi" w:hAnsiTheme="majorBidi" w:cstheme="majorBidi"/>
          <w:color w:val="000000" w:themeColor="text1"/>
          <w:szCs w:val="20"/>
        </w:rPr>
        <w:t>, Amman, 2</w:t>
      </w:r>
      <w:r>
        <w:rPr>
          <w:rFonts w:asciiTheme="majorBidi" w:hAnsiTheme="majorBidi" w:cstheme="majorBidi"/>
          <w:color w:val="000000" w:themeColor="text1"/>
          <w:szCs w:val="20"/>
        </w:rPr>
        <w:t>0 Aug.</w:t>
      </w:r>
      <w:r w:rsidRPr="00D4643C">
        <w:rPr>
          <w:rFonts w:asciiTheme="majorBidi" w:hAnsiTheme="majorBidi" w:cstheme="majorBidi"/>
          <w:color w:val="000000" w:themeColor="text1"/>
          <w:szCs w:val="20"/>
        </w:rPr>
        <w:t xml:space="preserve"> 1988 (unpublished; a copy in file with the writer), Art. 2.</w:t>
      </w:r>
    </w:p>
  </w:footnote>
  <w:footnote w:id="46">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The writer has collected over 100 cases adjudicated by the Jordanian High Court of Justice, between 1988 and 2014, published in </w:t>
      </w:r>
      <w:r w:rsidRPr="00D4643C">
        <w:rPr>
          <w:rFonts w:asciiTheme="majorBidi" w:hAnsiTheme="majorBidi" w:cstheme="majorBidi"/>
          <w:i/>
          <w:iCs/>
          <w:color w:val="000000" w:themeColor="text1"/>
          <w:szCs w:val="20"/>
        </w:rPr>
        <w:t>Journal of the Jordanian Bar Association</w:t>
      </w:r>
      <w:r w:rsidRPr="00D4643C">
        <w:rPr>
          <w:rFonts w:asciiTheme="majorBidi" w:hAnsiTheme="majorBidi" w:cstheme="majorBidi"/>
          <w:color w:val="000000" w:themeColor="text1"/>
          <w:szCs w:val="20"/>
        </w:rPr>
        <w:t xml:space="preserve">, with regard to </w:t>
      </w:r>
      <w:r>
        <w:rPr>
          <w:rFonts w:asciiTheme="majorBidi" w:hAnsiTheme="majorBidi" w:cstheme="majorBidi"/>
          <w:color w:val="000000" w:themeColor="text1"/>
          <w:szCs w:val="20"/>
        </w:rPr>
        <w:t>the citizenship of West Bank originated</w:t>
      </w:r>
      <w:r w:rsidRPr="00D4643C">
        <w:rPr>
          <w:rFonts w:asciiTheme="majorBidi" w:hAnsiTheme="majorBidi" w:cstheme="majorBidi"/>
          <w:color w:val="000000" w:themeColor="text1"/>
          <w:szCs w:val="20"/>
        </w:rPr>
        <w:t xml:space="preserve"> inhabitants. These cases essentially indicate that West Bankers have become Palestinian citizens since 1988 and that these individuals are no longer Jordanians.</w:t>
      </w:r>
    </w:p>
  </w:footnote>
  <w:footnote w:id="4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Jordanian Prime Minster Office, </w:t>
      </w:r>
      <w:r w:rsidRPr="00D4643C">
        <w:rPr>
          <w:rFonts w:asciiTheme="majorBidi" w:hAnsiTheme="majorBidi" w:cstheme="majorBidi"/>
          <w:i/>
          <w:iCs/>
          <w:color w:val="000000" w:themeColor="text1"/>
          <w:szCs w:val="20"/>
        </w:rPr>
        <w:t>Instructions on the Detachment</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 xml:space="preserve">above </w:t>
      </w:r>
      <w:r>
        <w:rPr>
          <w:rFonts w:asciiTheme="majorBidi" w:hAnsiTheme="majorBidi" w:cstheme="majorBidi"/>
          <w:color w:val="000000" w:themeColor="text1"/>
          <w:szCs w:val="20"/>
        </w:rPr>
        <w:t>footnote 45</w:t>
      </w:r>
      <w:r w:rsidRPr="00D4643C">
        <w:rPr>
          <w:rFonts w:asciiTheme="majorBidi" w:hAnsiTheme="majorBidi" w:cstheme="majorBidi"/>
          <w:color w:val="000000" w:themeColor="text1"/>
          <w:szCs w:val="20"/>
        </w:rPr>
        <w:t>, Art. 1.</w:t>
      </w:r>
    </w:p>
  </w:footnote>
  <w:footnote w:id="4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West Bankers</w:t>
      </w:r>
      <w:r>
        <w:rPr>
          <w:rFonts w:asciiTheme="majorBidi" w:hAnsiTheme="majorBidi" w:cstheme="majorBidi"/>
          <w:color w:val="000000" w:themeColor="text1"/>
          <w:szCs w:val="20"/>
        </w:rPr>
        <w:t>, for instance,</w:t>
      </w:r>
      <w:r w:rsidRPr="00D4643C">
        <w:rPr>
          <w:rFonts w:asciiTheme="majorBidi" w:hAnsiTheme="majorBidi" w:cstheme="majorBidi"/>
          <w:color w:val="000000" w:themeColor="text1"/>
          <w:szCs w:val="20"/>
        </w:rPr>
        <w:t xml:space="preserve"> are allowed to reside in J</w:t>
      </w:r>
      <w:r>
        <w:rPr>
          <w:rFonts w:asciiTheme="majorBidi" w:hAnsiTheme="majorBidi" w:cstheme="majorBidi"/>
          <w:color w:val="000000" w:themeColor="text1"/>
          <w:szCs w:val="20"/>
        </w:rPr>
        <w:t xml:space="preserve">ordan for one month only. </w:t>
      </w:r>
      <w:r w:rsidRPr="002C714F">
        <w:rPr>
          <w:rFonts w:asciiTheme="majorBidi" w:hAnsiTheme="majorBidi" w:cstheme="majorBidi"/>
          <w:i/>
          <w:iCs/>
          <w:color w:val="000000" w:themeColor="text1"/>
          <w:szCs w:val="20"/>
        </w:rPr>
        <w:t>Ibid.</w:t>
      </w:r>
      <w:r w:rsidRPr="00D4643C">
        <w:rPr>
          <w:rFonts w:asciiTheme="majorBidi" w:hAnsiTheme="majorBidi" w:cstheme="majorBidi"/>
          <w:color w:val="000000" w:themeColor="text1"/>
          <w:szCs w:val="20"/>
        </w:rPr>
        <w:t>, Art. 15.</w:t>
      </w:r>
    </w:p>
  </w:footnote>
  <w:footnote w:id="49">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Human Rights Watch, </w:t>
      </w:r>
      <w:r w:rsidRPr="00D4643C">
        <w:rPr>
          <w:rFonts w:asciiTheme="majorBidi" w:hAnsiTheme="majorBidi" w:cstheme="majorBidi"/>
          <w:i/>
          <w:iCs/>
          <w:color w:val="000000" w:themeColor="text1"/>
          <w:szCs w:val="20"/>
        </w:rPr>
        <w:t>Stateless Again: Palestinian</w:t>
      </w:r>
      <w:r>
        <w:rPr>
          <w:rFonts w:asciiTheme="majorBidi" w:hAnsiTheme="majorBidi" w:cstheme="majorBidi"/>
          <w:i/>
          <w:iCs/>
          <w:color w:val="000000" w:themeColor="text1"/>
          <w:szCs w:val="20"/>
        </w:rPr>
        <w:t>-Origin Jordanians Deprived of T</w:t>
      </w:r>
      <w:r w:rsidRPr="00D4643C">
        <w:rPr>
          <w:rFonts w:asciiTheme="majorBidi" w:hAnsiTheme="majorBidi" w:cstheme="majorBidi"/>
          <w:i/>
          <w:iCs/>
          <w:color w:val="000000" w:themeColor="text1"/>
          <w:szCs w:val="20"/>
        </w:rPr>
        <w:t>heir Nationality</w:t>
      </w:r>
      <w:r w:rsidRPr="00D4643C">
        <w:rPr>
          <w:rFonts w:asciiTheme="majorBidi" w:hAnsiTheme="majorBidi" w:cstheme="majorBidi"/>
          <w:color w:val="000000" w:themeColor="text1"/>
          <w:szCs w:val="20"/>
        </w:rPr>
        <w:t xml:space="preserve">, New York, </w:t>
      </w:r>
      <w:r w:rsidRPr="00D4643C">
        <w:rPr>
          <w:rFonts w:asciiTheme="majorBidi" w:hAnsiTheme="majorBidi" w:cstheme="majorBidi"/>
          <w:color w:val="000000" w:themeColor="text1"/>
          <w:szCs w:val="20"/>
          <w:lang w:bidi="ar-SA"/>
        </w:rPr>
        <w:t>2010.</w:t>
      </w:r>
    </w:p>
  </w:footnote>
  <w:footnote w:id="50">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 copy of a five-year temporary Jor</w:t>
      </w:r>
      <w:r>
        <w:rPr>
          <w:rFonts w:asciiTheme="majorBidi" w:hAnsiTheme="majorBidi" w:cstheme="majorBidi"/>
          <w:color w:val="000000" w:themeColor="text1"/>
          <w:szCs w:val="20"/>
        </w:rPr>
        <w:t>danian passport, issued on Apr.</w:t>
      </w:r>
      <w:r w:rsidRPr="00D4643C">
        <w:rPr>
          <w:rFonts w:asciiTheme="majorBidi" w:hAnsiTheme="majorBidi" w:cstheme="majorBidi"/>
          <w:color w:val="000000" w:themeColor="text1"/>
          <w:szCs w:val="20"/>
        </w:rPr>
        <w:t xml:space="preserve"> 2015, is in the writer’</w:t>
      </w:r>
      <w:r>
        <w:rPr>
          <w:rFonts w:asciiTheme="majorBidi" w:hAnsiTheme="majorBidi" w:cstheme="majorBidi"/>
          <w:color w:val="000000" w:themeColor="text1"/>
          <w:szCs w:val="20"/>
        </w:rPr>
        <w:t>s</w:t>
      </w:r>
      <w:r w:rsidRPr="00D4643C">
        <w:rPr>
          <w:rFonts w:asciiTheme="majorBidi" w:hAnsiTheme="majorBidi" w:cstheme="majorBidi"/>
          <w:color w:val="000000" w:themeColor="text1"/>
          <w:szCs w:val="20"/>
        </w:rPr>
        <w:t xml:space="preserve"> possession.</w:t>
      </w:r>
    </w:p>
  </w:footnote>
  <w:footnote w:id="51">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M</w:t>
      </w:r>
      <w:r w:rsidRPr="00D4643C">
        <w:rPr>
          <w:rFonts w:asciiTheme="majorBidi" w:hAnsiTheme="majorBidi" w:cstheme="majorBidi"/>
          <w:color w:val="000000" w:themeColor="text1"/>
          <w:szCs w:val="20"/>
        </w:rPr>
        <w:t>ost States, such as Egypt, Syria and Lebanon, require West Bank holders of temporary Jordanian passports to apply for an entry visa, unlike Jordanian citizens</w:t>
      </w:r>
      <w:r>
        <w:rPr>
          <w:rFonts w:asciiTheme="majorBidi" w:hAnsiTheme="majorBidi" w:cstheme="majorBidi"/>
          <w:color w:val="000000" w:themeColor="text1"/>
          <w:szCs w:val="20"/>
        </w:rPr>
        <w:t xml:space="preserve"> who could land in these States without a prior visa</w:t>
      </w:r>
      <w:r w:rsidRPr="00D4643C">
        <w:rPr>
          <w:rFonts w:asciiTheme="majorBidi" w:hAnsiTheme="majorBidi" w:cstheme="majorBidi"/>
          <w:color w:val="000000" w:themeColor="text1"/>
          <w:szCs w:val="20"/>
        </w:rPr>
        <w:t>. How</w:t>
      </w:r>
      <w:r>
        <w:rPr>
          <w:rFonts w:asciiTheme="majorBidi" w:hAnsiTheme="majorBidi" w:cstheme="majorBidi"/>
          <w:color w:val="000000" w:themeColor="text1"/>
          <w:szCs w:val="20"/>
        </w:rPr>
        <w:t>ever, other States, like Turkey,</w:t>
      </w:r>
      <w:r w:rsidRPr="00D4643C">
        <w:rPr>
          <w:rFonts w:asciiTheme="majorBidi" w:hAnsiTheme="majorBidi" w:cstheme="majorBidi"/>
          <w:color w:val="000000" w:themeColor="text1"/>
          <w:szCs w:val="20"/>
        </w:rPr>
        <w:t xml:space="preserve"> Yemen</w:t>
      </w:r>
      <w:r>
        <w:rPr>
          <w:rFonts w:asciiTheme="majorBidi" w:hAnsiTheme="majorBidi" w:cstheme="majorBidi"/>
          <w:color w:val="000000" w:themeColor="text1"/>
          <w:szCs w:val="20"/>
        </w:rPr>
        <w:t xml:space="preserve"> and Tunisia</w:t>
      </w:r>
      <w:r w:rsidRPr="00D4643C">
        <w:rPr>
          <w:rFonts w:asciiTheme="majorBidi" w:hAnsiTheme="majorBidi" w:cstheme="majorBidi"/>
          <w:color w:val="000000" w:themeColor="text1"/>
          <w:szCs w:val="20"/>
        </w:rPr>
        <w:t>, treat temporary and permanent Jordanian passports alike with regard to entry purposes. It should be noted that the majority of the West Bankers hold Palestinian passports, while they could simultaneously bear temporary Jordanian passports.</w:t>
      </w:r>
    </w:p>
  </w:footnote>
  <w:footnote w:id="5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E. </w:t>
      </w:r>
      <w:proofErr w:type="spellStart"/>
      <w:r w:rsidRPr="00D4643C">
        <w:rPr>
          <w:rFonts w:asciiTheme="majorBidi" w:hAnsiTheme="majorBidi" w:cstheme="majorBidi"/>
          <w:color w:val="000000" w:themeColor="text1"/>
          <w:szCs w:val="20"/>
        </w:rPr>
        <w:t>Sahliyeh</w:t>
      </w:r>
      <w:proofErr w:type="spellEnd"/>
      <w:r w:rsidRPr="00D4643C">
        <w:rPr>
          <w:rFonts w:asciiTheme="majorBidi" w:hAnsiTheme="majorBidi" w:cstheme="majorBidi"/>
          <w:color w:val="000000" w:themeColor="text1"/>
          <w:szCs w:val="20"/>
        </w:rPr>
        <w:t xml:space="preserve">, “Jordan and the Palestinians”, in </w:t>
      </w:r>
      <w:proofErr w:type="spellStart"/>
      <w:r w:rsidRPr="00D4643C">
        <w:rPr>
          <w:rFonts w:asciiTheme="majorBidi" w:hAnsiTheme="majorBidi" w:cstheme="majorBidi"/>
          <w:color w:val="000000" w:themeColor="text1"/>
          <w:szCs w:val="20"/>
        </w:rPr>
        <w:t>Quandt</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The Middle East</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 xml:space="preserve">above </w:t>
      </w:r>
      <w:r>
        <w:rPr>
          <w:rFonts w:asciiTheme="majorBidi" w:hAnsiTheme="majorBidi" w:cstheme="majorBidi"/>
          <w:color w:val="000000" w:themeColor="text1"/>
          <w:szCs w:val="20"/>
        </w:rPr>
        <w:t>footnote 44</w:t>
      </w:r>
      <w:r w:rsidRPr="00D4643C">
        <w:rPr>
          <w:rFonts w:asciiTheme="majorBidi" w:hAnsiTheme="majorBidi" w:cstheme="majorBidi"/>
          <w:color w:val="000000" w:themeColor="text1"/>
          <w:szCs w:val="20"/>
        </w:rPr>
        <w:t>, 279-318.</w:t>
      </w:r>
    </w:p>
  </w:footnote>
  <w:footnote w:id="53">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PCBS, </w:t>
      </w:r>
      <w:r w:rsidRPr="00D4643C">
        <w:rPr>
          <w:rFonts w:asciiTheme="majorBidi" w:hAnsiTheme="majorBidi" w:cstheme="majorBidi"/>
          <w:i/>
          <w:iCs/>
          <w:color w:val="000000" w:themeColor="text1"/>
          <w:szCs w:val="20"/>
        </w:rPr>
        <w:t>Palestin</w:t>
      </w:r>
      <w:r>
        <w:rPr>
          <w:rFonts w:asciiTheme="majorBidi" w:hAnsiTheme="majorBidi" w:cstheme="majorBidi"/>
          <w:i/>
          <w:iCs/>
          <w:color w:val="000000" w:themeColor="text1"/>
          <w:szCs w:val="20"/>
        </w:rPr>
        <w:t>ians</w:t>
      </w:r>
      <w:r w:rsidRPr="002C714F">
        <w:rPr>
          <w:rFonts w:asciiTheme="majorBidi" w:hAnsiTheme="majorBidi" w:cstheme="majorBidi"/>
          <w:color w:val="000000" w:themeColor="text1"/>
          <w:szCs w:val="20"/>
        </w:rPr>
        <w:t>,</w:t>
      </w:r>
      <w:r>
        <w:rPr>
          <w:rFonts w:asciiTheme="majorBidi" w:hAnsiTheme="majorBidi" w:cstheme="majorBidi"/>
          <w:i/>
          <w:iCs/>
          <w:color w:val="000000" w:themeColor="text1"/>
          <w:szCs w:val="20"/>
        </w:rPr>
        <w:t xml:space="preserve"> </w:t>
      </w:r>
      <w:r>
        <w:rPr>
          <w:rFonts w:asciiTheme="majorBidi" w:hAnsiTheme="majorBidi" w:cstheme="majorBidi"/>
          <w:color w:val="000000" w:themeColor="text1"/>
          <w:szCs w:val="20"/>
        </w:rPr>
        <w:t>footnote</w:t>
      </w:r>
      <w:r w:rsidRPr="002C714F">
        <w:rPr>
          <w:rFonts w:asciiTheme="majorBidi" w:hAnsiTheme="majorBidi" w:cstheme="majorBidi"/>
          <w:color w:val="000000" w:themeColor="text1"/>
          <w:szCs w:val="20"/>
        </w:rPr>
        <w:t xml:space="preserve"> 14</w:t>
      </w:r>
      <w:r w:rsidRPr="00D4643C">
        <w:rPr>
          <w:rFonts w:asciiTheme="majorBidi" w:hAnsiTheme="majorBidi" w:cstheme="majorBidi"/>
          <w:color w:val="000000" w:themeColor="text1"/>
          <w:szCs w:val="20"/>
        </w:rPr>
        <w:t>, 23.</w:t>
      </w:r>
    </w:p>
  </w:footnote>
  <w:footnote w:id="54">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Hereinafter referred to as “Gaza”.</w:t>
      </w:r>
    </w:p>
  </w:footnote>
  <w:footnote w:id="55">
    <w:p w:rsidR="00A7663B" w:rsidRPr="00D4643C" w:rsidRDefault="00A7663B" w:rsidP="00D4643C">
      <w:pPr>
        <w:bidi w:val="0"/>
        <w:jc w:val="both"/>
        <w:rPr>
          <w:rFonts w:asciiTheme="majorBidi" w:hAnsiTheme="majorBidi" w:cstheme="majorBidi"/>
          <w:color w:val="000000" w:themeColor="text1"/>
          <w:sz w:val="20"/>
          <w:szCs w:val="20"/>
        </w:rPr>
      </w:pPr>
      <w:r w:rsidRPr="00D4643C">
        <w:rPr>
          <w:rStyle w:val="FootnoteReference"/>
          <w:rFonts w:asciiTheme="majorBidi" w:hAnsiTheme="majorBidi" w:cstheme="majorBidi"/>
          <w:color w:val="000000" w:themeColor="text1"/>
          <w:sz w:val="20"/>
          <w:szCs w:val="20"/>
        </w:rPr>
        <w:footnoteRef/>
      </w:r>
      <w:r w:rsidRPr="00D4643C">
        <w:rPr>
          <w:rFonts w:asciiTheme="majorBidi" w:hAnsiTheme="majorBidi" w:cstheme="majorBidi"/>
          <w:color w:val="000000" w:themeColor="text1"/>
          <w:sz w:val="20"/>
          <w:szCs w:val="20"/>
        </w:rPr>
        <w:t xml:space="preserve"> As the case of the West Bank, two groups of “Gazans” will be addressed in two different sections belo</w:t>
      </w:r>
      <w:r>
        <w:rPr>
          <w:rFonts w:asciiTheme="majorBidi" w:hAnsiTheme="majorBidi" w:cstheme="majorBidi"/>
          <w:color w:val="000000" w:themeColor="text1"/>
          <w:sz w:val="20"/>
          <w:szCs w:val="20"/>
        </w:rPr>
        <w:t>w: the first is the “refugees in</w:t>
      </w:r>
      <w:r w:rsidRPr="00D4643C">
        <w:rPr>
          <w:rFonts w:asciiTheme="majorBidi" w:hAnsiTheme="majorBidi" w:cstheme="majorBidi"/>
          <w:color w:val="000000" w:themeColor="text1"/>
          <w:sz w:val="20"/>
          <w:szCs w:val="20"/>
        </w:rPr>
        <w:t xml:space="preserve"> Gaza” who moved to the Strip during the 1947-1949 war; and the second refers to those who were displaced from the Gaza Strip (as in the case of the</w:t>
      </w:r>
      <w:r>
        <w:rPr>
          <w:rFonts w:asciiTheme="majorBidi" w:hAnsiTheme="majorBidi" w:cstheme="majorBidi"/>
          <w:color w:val="000000" w:themeColor="text1"/>
          <w:sz w:val="20"/>
          <w:szCs w:val="20"/>
        </w:rPr>
        <w:t xml:space="preserve"> West Bank) and moved to other S</w:t>
      </w:r>
      <w:r w:rsidRPr="00D4643C">
        <w:rPr>
          <w:rFonts w:asciiTheme="majorBidi" w:hAnsiTheme="majorBidi" w:cstheme="majorBidi"/>
          <w:color w:val="000000" w:themeColor="text1"/>
          <w:sz w:val="20"/>
          <w:szCs w:val="20"/>
        </w:rPr>
        <w:t>tates after the Israeli occupation in 1967 or afterwards.</w:t>
      </w:r>
    </w:p>
  </w:footnote>
  <w:footnote w:id="56">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In its resolution of 29 November 2012 (above </w:t>
      </w:r>
      <w:r>
        <w:rPr>
          <w:rFonts w:asciiTheme="majorBidi" w:hAnsiTheme="majorBidi" w:cstheme="majorBidi"/>
          <w:color w:val="000000" w:themeColor="text1"/>
          <w:szCs w:val="20"/>
        </w:rPr>
        <w:t>footnote 1</w:t>
      </w:r>
      <w:r w:rsidRPr="00D4643C">
        <w:rPr>
          <w:rFonts w:asciiTheme="majorBidi" w:hAnsiTheme="majorBidi" w:cstheme="majorBidi"/>
          <w:color w:val="000000" w:themeColor="text1"/>
          <w:szCs w:val="20"/>
        </w:rPr>
        <w:t>), the UN General Assembly recognized the territory of Palestine “</w:t>
      </w:r>
      <w:r w:rsidRPr="00D4643C">
        <w:rPr>
          <w:rFonts w:asciiTheme="majorBidi" w:hAnsiTheme="majorBidi" w:cstheme="majorBidi"/>
          <w:color w:val="000000" w:themeColor="text1"/>
          <w:szCs w:val="20"/>
          <w:shd w:val="clear" w:color="auto" w:fill="FFFFFF"/>
        </w:rPr>
        <w:t>on the basis of the pre-1967 borders</w:t>
      </w:r>
      <w:r>
        <w:rPr>
          <w:rFonts w:asciiTheme="majorBidi" w:hAnsiTheme="majorBidi" w:cstheme="majorBidi"/>
          <w:color w:val="000000" w:themeColor="text1"/>
          <w:szCs w:val="20"/>
        </w:rPr>
        <w:t>”. Art.</w:t>
      </w:r>
      <w:r w:rsidRPr="00D4643C">
        <w:rPr>
          <w:rFonts w:asciiTheme="majorBidi" w:hAnsiTheme="majorBidi" w:cstheme="majorBidi"/>
          <w:color w:val="000000" w:themeColor="text1"/>
          <w:szCs w:val="20"/>
        </w:rPr>
        <w:t xml:space="preserve"> IV </w:t>
      </w:r>
      <w:r>
        <w:rPr>
          <w:rFonts w:asciiTheme="majorBidi" w:hAnsiTheme="majorBidi" w:cstheme="majorBidi"/>
          <w:color w:val="000000" w:themeColor="text1"/>
          <w:szCs w:val="20"/>
        </w:rPr>
        <w:t>of t</w:t>
      </w:r>
      <w:r w:rsidRPr="00D4643C">
        <w:rPr>
          <w:rFonts w:asciiTheme="majorBidi" w:hAnsiTheme="majorBidi" w:cstheme="majorBidi"/>
          <w:color w:val="000000" w:themeColor="text1"/>
          <w:szCs w:val="20"/>
        </w:rPr>
        <w:t xml:space="preserve">he Israeli-Palestinian Declaration of Principles on Interim Self-Government Arrangements of 13 September 1993 (32 </w:t>
      </w:r>
      <w:r w:rsidRPr="00D4643C">
        <w:rPr>
          <w:rFonts w:asciiTheme="majorBidi" w:hAnsiTheme="majorBidi" w:cstheme="majorBidi"/>
          <w:i/>
          <w:iCs/>
          <w:color w:val="000000" w:themeColor="text1"/>
          <w:szCs w:val="20"/>
        </w:rPr>
        <w:t>International Legal Materials</w:t>
      </w:r>
      <w:r>
        <w:rPr>
          <w:rFonts w:asciiTheme="majorBidi" w:hAnsiTheme="majorBidi" w:cstheme="majorBidi"/>
          <w:i/>
          <w:iCs/>
          <w:color w:val="000000" w:themeColor="text1"/>
          <w:szCs w:val="20"/>
        </w:rPr>
        <w:t xml:space="preserve"> (ILM)</w:t>
      </w:r>
      <w:r w:rsidRPr="00D4643C">
        <w:rPr>
          <w:rFonts w:asciiTheme="majorBidi" w:hAnsiTheme="majorBidi" w:cstheme="majorBidi"/>
          <w:color w:val="000000" w:themeColor="text1"/>
          <w:szCs w:val="20"/>
        </w:rPr>
        <w:t xml:space="preserve">, 1993, 1525) resolved, </w:t>
      </w:r>
      <w:r w:rsidRPr="00D4643C">
        <w:rPr>
          <w:rFonts w:asciiTheme="majorBidi" w:hAnsiTheme="majorBidi" w:cstheme="majorBidi"/>
          <w:i/>
          <w:iCs/>
          <w:color w:val="000000" w:themeColor="text1"/>
          <w:szCs w:val="20"/>
        </w:rPr>
        <w:t>inter alia</w:t>
      </w:r>
      <w:r w:rsidRPr="00D4643C">
        <w:rPr>
          <w:rFonts w:asciiTheme="majorBidi" w:hAnsiTheme="majorBidi" w:cstheme="majorBidi"/>
          <w:color w:val="000000" w:themeColor="text1"/>
          <w:szCs w:val="20"/>
        </w:rPr>
        <w:t>, that: “</w:t>
      </w:r>
      <w:r w:rsidRPr="00D4643C">
        <w:rPr>
          <w:rFonts w:asciiTheme="majorBidi" w:hAnsiTheme="majorBidi" w:cstheme="majorBidi"/>
          <w:color w:val="000000" w:themeColor="text1"/>
          <w:szCs w:val="20"/>
          <w:shd w:val="clear" w:color="auto" w:fill="FFFFFF"/>
        </w:rPr>
        <w:t>The two sides view the West Bank and the Gaza Strip as a single territorial unit, whose integrity will be preserved</w:t>
      </w:r>
      <w:r w:rsidRPr="00D4643C">
        <w:rPr>
          <w:rFonts w:asciiTheme="majorBidi" w:hAnsiTheme="majorBidi" w:cstheme="majorBidi"/>
          <w:color w:val="000000" w:themeColor="text1"/>
          <w:szCs w:val="20"/>
        </w:rPr>
        <w:t>”</w:t>
      </w:r>
      <w:r w:rsidRPr="00D4643C">
        <w:rPr>
          <w:rFonts w:asciiTheme="majorBidi" w:hAnsiTheme="majorBidi" w:cstheme="majorBidi"/>
          <w:color w:val="000000" w:themeColor="text1"/>
          <w:szCs w:val="20"/>
          <w:shd w:val="clear" w:color="auto" w:fill="FFFFFF"/>
        </w:rPr>
        <w:t>.</w:t>
      </w:r>
    </w:p>
  </w:footnote>
  <w:footnote w:id="5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shd w:val="clear" w:color="auto" w:fill="FFFFFF"/>
        </w:rPr>
        <w:t>Israel and Egypt General Armistice Agreement, 42 UNTS 252 (entry into force: 24 Apr. 1949).</w:t>
      </w:r>
    </w:p>
  </w:footnote>
  <w:footnote w:id="5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As Britain was mandated by the League of Nations to rule Palestine, Egypt was commissioned by the League of Arab States to administrate Gaza. G. </w:t>
      </w:r>
      <w:proofErr w:type="spellStart"/>
      <w:r w:rsidRPr="00D4643C">
        <w:rPr>
          <w:rFonts w:asciiTheme="majorBidi" w:hAnsiTheme="majorBidi" w:cstheme="majorBidi"/>
          <w:color w:val="000000" w:themeColor="text1"/>
          <w:szCs w:val="20"/>
        </w:rPr>
        <w:t>Surani</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The Gaza Strip: 1948-1993</w:t>
      </w:r>
      <w:r w:rsidRPr="00D4643C">
        <w:rPr>
          <w:rFonts w:asciiTheme="majorBidi" w:hAnsiTheme="majorBidi" w:cstheme="majorBidi"/>
          <w:color w:val="000000" w:themeColor="text1"/>
          <w:szCs w:val="20"/>
        </w:rPr>
        <w:t>, 2011, 9.</w:t>
      </w:r>
    </w:p>
  </w:footnote>
  <w:footnote w:id="59">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M. </w:t>
      </w:r>
      <w:proofErr w:type="spellStart"/>
      <w:r w:rsidRPr="00D4643C">
        <w:rPr>
          <w:rFonts w:asciiTheme="majorBidi" w:hAnsiTheme="majorBidi" w:cstheme="majorBidi"/>
          <w:color w:val="000000" w:themeColor="text1"/>
          <w:szCs w:val="20"/>
        </w:rPr>
        <w:t>Qafisheh</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Nationality and Domicile in Palestine</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 xml:space="preserve">Ramallah, </w:t>
      </w:r>
      <w:r w:rsidRPr="00D4643C">
        <w:rPr>
          <w:rFonts w:asciiTheme="majorBidi" w:hAnsiTheme="majorBidi" w:cstheme="majorBidi"/>
          <w:color w:val="000000" w:themeColor="text1"/>
          <w:szCs w:val="20"/>
        </w:rPr>
        <w:t>Ins</w:t>
      </w:r>
      <w:r>
        <w:rPr>
          <w:rFonts w:asciiTheme="majorBidi" w:hAnsiTheme="majorBidi" w:cstheme="majorBidi"/>
          <w:color w:val="000000" w:themeColor="text1"/>
          <w:szCs w:val="20"/>
        </w:rPr>
        <w:t>titute of International Studies of</w:t>
      </w:r>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Birzeit</w:t>
      </w:r>
      <w:proofErr w:type="spellEnd"/>
      <w:r w:rsidRPr="00D4643C">
        <w:rPr>
          <w:rFonts w:asciiTheme="majorBidi" w:hAnsiTheme="majorBidi" w:cstheme="majorBidi"/>
          <w:color w:val="000000" w:themeColor="text1"/>
          <w:szCs w:val="20"/>
        </w:rPr>
        <w:t xml:space="preserve"> University, 60-62.</w:t>
      </w:r>
    </w:p>
  </w:footnote>
  <w:footnote w:id="60">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Ibid.</w:t>
      </w:r>
    </w:p>
  </w:footnote>
  <w:footnote w:id="61">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Ibid.</w:t>
      </w:r>
    </w:p>
  </w:footnote>
  <w:footnote w:id="6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S. Martin, J.G. Warner, &amp; P. </w:t>
      </w:r>
      <w:proofErr w:type="spellStart"/>
      <w:r w:rsidRPr="00D4643C">
        <w:rPr>
          <w:rFonts w:asciiTheme="majorBidi" w:hAnsiTheme="majorBidi" w:cstheme="majorBidi"/>
          <w:color w:val="000000" w:themeColor="text1"/>
          <w:szCs w:val="20"/>
        </w:rPr>
        <w:t>Fagen</w:t>
      </w:r>
      <w:proofErr w:type="spellEnd"/>
      <w:r w:rsidRPr="00D4643C">
        <w:rPr>
          <w:rFonts w:asciiTheme="majorBidi" w:hAnsiTheme="majorBidi" w:cstheme="majorBidi"/>
          <w:color w:val="000000" w:themeColor="text1"/>
          <w:szCs w:val="20"/>
        </w:rPr>
        <w:t>, “Palestinian Refugees in Gaza”,</w:t>
      </w:r>
      <w:r w:rsidRPr="00D4643C">
        <w:rPr>
          <w:rFonts w:asciiTheme="majorBidi" w:hAnsiTheme="majorBidi" w:cstheme="majorBidi"/>
          <w:color w:val="000000" w:themeColor="text1"/>
          <w:szCs w:val="20"/>
          <w:shd w:val="clear" w:color="auto" w:fill="FFFFFF"/>
        </w:rPr>
        <w:t> </w:t>
      </w:r>
      <w:r w:rsidRPr="00D4643C">
        <w:rPr>
          <w:rFonts w:asciiTheme="majorBidi" w:hAnsiTheme="majorBidi" w:cstheme="majorBidi"/>
          <w:i/>
          <w:iCs/>
          <w:color w:val="000000" w:themeColor="text1"/>
          <w:szCs w:val="20"/>
        </w:rPr>
        <w:t>Fordham International Law Journal</w:t>
      </w:r>
      <w:r w:rsidRPr="00D4643C">
        <w:rPr>
          <w:rFonts w:asciiTheme="majorBidi" w:hAnsiTheme="majorBidi" w:cstheme="majorBidi"/>
          <w:color w:val="000000" w:themeColor="text1"/>
          <w:szCs w:val="20"/>
          <w:shd w:val="clear" w:color="auto" w:fill="FFFFFF"/>
        </w:rPr>
        <w:t xml:space="preserve"> 28(5), 2005, 1457-1478</w:t>
      </w:r>
      <w:r w:rsidRPr="00D4643C">
        <w:rPr>
          <w:rFonts w:asciiTheme="majorBidi" w:hAnsiTheme="majorBidi" w:cstheme="majorBidi"/>
          <w:color w:val="000000" w:themeColor="text1"/>
          <w:szCs w:val="20"/>
        </w:rPr>
        <w:t>.</w:t>
      </w:r>
    </w:p>
  </w:footnote>
  <w:footnote w:id="63">
    <w:p w:rsidR="00A7663B" w:rsidRPr="005A1EDF" w:rsidRDefault="00A7663B" w:rsidP="005A1EDF">
      <w:pPr>
        <w:pStyle w:val="FootnoteText"/>
        <w:jc w:val="both"/>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Cf.</w:t>
      </w:r>
      <w:r w:rsidRPr="00D4643C">
        <w:rPr>
          <w:rFonts w:asciiTheme="majorBidi" w:hAnsiTheme="majorBidi" w:cstheme="majorBidi"/>
          <w:color w:val="000000" w:themeColor="text1"/>
          <w:szCs w:val="20"/>
        </w:rPr>
        <w:t xml:space="preserve"> the status of Palestinian</w:t>
      </w:r>
      <w:r>
        <w:rPr>
          <w:rFonts w:asciiTheme="majorBidi" w:hAnsiTheme="majorBidi" w:cstheme="majorBidi"/>
          <w:color w:val="000000" w:themeColor="text1"/>
          <w:szCs w:val="20"/>
        </w:rPr>
        <w:t>s</w:t>
      </w:r>
      <w:r w:rsidRPr="00D4643C">
        <w:rPr>
          <w:rFonts w:asciiTheme="majorBidi" w:hAnsiTheme="majorBidi" w:cstheme="majorBidi"/>
          <w:color w:val="000000" w:themeColor="text1"/>
          <w:szCs w:val="20"/>
        </w:rPr>
        <w:t xml:space="preserve"> in Britain before 1948</w:t>
      </w:r>
      <w:r>
        <w:rPr>
          <w:rFonts w:asciiTheme="majorBidi" w:hAnsiTheme="majorBidi" w:cstheme="majorBidi"/>
          <w:color w:val="000000" w:themeColor="text1"/>
          <w:szCs w:val="20"/>
        </w:rPr>
        <w:t xml:space="preserve"> who were considered as aliens despite holding passports issued by UK authorities</w:t>
      </w:r>
      <w:r w:rsidRPr="00D4643C">
        <w:rPr>
          <w:rFonts w:asciiTheme="majorBidi" w:hAnsiTheme="majorBidi" w:cstheme="majorBidi"/>
          <w:color w:val="000000" w:themeColor="text1"/>
          <w:szCs w:val="20"/>
        </w:rPr>
        <w:t>.</w:t>
      </w:r>
      <w:r>
        <w:t xml:space="preserve"> </w:t>
      </w:r>
      <w:r w:rsidRPr="006A777F">
        <w:rPr>
          <w:i/>
          <w:iCs/>
        </w:rPr>
        <w:t xml:space="preserve">The King v. </w:t>
      </w:r>
      <w:proofErr w:type="spellStart"/>
      <w:r w:rsidRPr="006A777F">
        <w:rPr>
          <w:i/>
          <w:iCs/>
        </w:rPr>
        <w:t>Ketter</w:t>
      </w:r>
      <w:proofErr w:type="spellEnd"/>
      <w:r>
        <w:t xml:space="preserve">, England Court of Criminal Appeal, 21 February 1939; A.D. McNair, D. Arnold &amp; H. </w:t>
      </w:r>
      <w:proofErr w:type="spellStart"/>
      <w:r>
        <w:t>Lauterpacht</w:t>
      </w:r>
      <w:proofErr w:type="spellEnd"/>
      <w:r>
        <w:t xml:space="preserve"> (eds.), </w:t>
      </w:r>
      <w:r w:rsidRPr="005A1EDF">
        <w:rPr>
          <w:i/>
          <w:iCs/>
        </w:rPr>
        <w:t>Annual Digest of Public International Law Cases</w:t>
      </w:r>
      <w:r>
        <w:t>, London/New York/Toronto, Longmans, 1938-1940, 46.</w:t>
      </w:r>
    </w:p>
  </w:footnote>
  <w:footnote w:id="64">
    <w:p w:rsidR="00A7663B" w:rsidRPr="00D4643C" w:rsidRDefault="00A7663B" w:rsidP="00D4643C">
      <w:pPr>
        <w:pStyle w:val="Heading1"/>
        <w:shd w:val="clear" w:color="auto" w:fill="FFFFFF"/>
        <w:bidi w:val="0"/>
        <w:spacing w:before="0"/>
        <w:jc w:val="both"/>
        <w:rPr>
          <w:rFonts w:asciiTheme="majorBidi" w:eastAsia="Times New Roman" w:hAnsiTheme="majorBidi"/>
          <w:b w:val="0"/>
          <w:bCs w:val="0"/>
          <w:color w:val="000000" w:themeColor="text1"/>
          <w:kern w:val="36"/>
          <w:sz w:val="20"/>
          <w:szCs w:val="20"/>
          <w:lang w:bidi="ar-SA"/>
        </w:rPr>
      </w:pPr>
      <w:r w:rsidRPr="00D4643C">
        <w:rPr>
          <w:rStyle w:val="FootnoteReference"/>
          <w:rFonts w:asciiTheme="majorBidi" w:hAnsiTheme="majorBidi"/>
          <w:b w:val="0"/>
          <w:bCs w:val="0"/>
          <w:color w:val="000000" w:themeColor="text1"/>
          <w:sz w:val="20"/>
          <w:szCs w:val="20"/>
        </w:rPr>
        <w:footnoteRef/>
      </w:r>
      <w:r w:rsidRPr="00D4643C">
        <w:rPr>
          <w:rFonts w:asciiTheme="majorBidi" w:hAnsiTheme="majorBidi"/>
          <w:b w:val="0"/>
          <w:bCs w:val="0"/>
          <w:color w:val="000000" w:themeColor="text1"/>
          <w:sz w:val="20"/>
          <w:szCs w:val="20"/>
        </w:rPr>
        <w:t xml:space="preserve"> </w:t>
      </w:r>
      <w:r w:rsidRPr="00D4643C">
        <w:rPr>
          <w:rFonts w:asciiTheme="majorBidi" w:hAnsiTheme="majorBidi"/>
          <w:b w:val="0"/>
          <w:bCs w:val="0"/>
          <w:color w:val="000000" w:themeColor="text1"/>
          <w:sz w:val="20"/>
          <w:szCs w:val="20"/>
          <w:shd w:val="clear" w:color="auto" w:fill="FFFFFF"/>
        </w:rPr>
        <w:t>I. Feldman</w:t>
      </w:r>
      <w:r w:rsidRPr="00D4643C">
        <w:rPr>
          <w:rFonts w:asciiTheme="majorBidi" w:eastAsia="Times New Roman" w:hAnsiTheme="majorBidi"/>
          <w:b w:val="0"/>
          <w:bCs w:val="0"/>
          <w:color w:val="000000" w:themeColor="text1"/>
          <w:kern w:val="36"/>
          <w:sz w:val="20"/>
          <w:szCs w:val="20"/>
          <w:lang w:bidi="ar-SA"/>
        </w:rPr>
        <w:t xml:space="preserve">, </w:t>
      </w:r>
      <w:r w:rsidRPr="00D4643C">
        <w:rPr>
          <w:rFonts w:asciiTheme="majorBidi" w:eastAsia="Times New Roman" w:hAnsiTheme="majorBidi"/>
          <w:b w:val="0"/>
          <w:bCs w:val="0"/>
          <w:i/>
          <w:iCs/>
          <w:color w:val="000000" w:themeColor="text1"/>
          <w:kern w:val="36"/>
          <w:sz w:val="20"/>
          <w:szCs w:val="20"/>
          <w:lang w:bidi="ar-SA"/>
        </w:rPr>
        <w:t>Governing Gaza: Bureaucracy, Authority, and the Work of Rule, 1917–1967</w:t>
      </w:r>
      <w:r w:rsidRPr="00D4643C">
        <w:rPr>
          <w:rFonts w:asciiTheme="majorBidi" w:eastAsia="Times New Roman" w:hAnsiTheme="majorBidi"/>
          <w:b w:val="0"/>
          <w:bCs w:val="0"/>
          <w:color w:val="000000" w:themeColor="text1"/>
          <w:kern w:val="36"/>
          <w:sz w:val="20"/>
          <w:szCs w:val="20"/>
          <w:lang w:bidi="ar-SA"/>
        </w:rPr>
        <w:t>, Duke University Press, 2008.</w:t>
      </w:r>
    </w:p>
  </w:footnote>
  <w:footnote w:id="65">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A.F. </w:t>
      </w:r>
      <w:proofErr w:type="spellStart"/>
      <w:r w:rsidRPr="00D4643C">
        <w:rPr>
          <w:rFonts w:asciiTheme="majorBidi" w:eastAsiaTheme="minorHAnsi" w:hAnsiTheme="majorBidi" w:cstheme="majorBidi"/>
          <w:color w:val="000000" w:themeColor="text1"/>
          <w:szCs w:val="20"/>
          <w:lang w:bidi="he-IL"/>
        </w:rPr>
        <w:t>Kassim</w:t>
      </w:r>
      <w:proofErr w:type="spellEnd"/>
      <w:r w:rsidRPr="00D4643C">
        <w:rPr>
          <w:rFonts w:asciiTheme="majorBidi" w:eastAsiaTheme="minorHAnsi" w:hAnsiTheme="majorBidi" w:cstheme="majorBidi"/>
          <w:color w:val="000000" w:themeColor="text1"/>
          <w:szCs w:val="20"/>
          <w:lang w:bidi="he-IL"/>
        </w:rPr>
        <w:t xml:space="preserve">, </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The Palestinian: From Hyphenated Citizen to Integrated Citizen</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 xml:space="preserve">, </w:t>
      </w:r>
      <w:r w:rsidRPr="00D4643C">
        <w:rPr>
          <w:rFonts w:asciiTheme="majorBidi" w:hAnsiTheme="majorBidi" w:cstheme="majorBidi"/>
          <w:i/>
          <w:iCs/>
          <w:color w:val="000000" w:themeColor="text1"/>
          <w:szCs w:val="20"/>
        </w:rPr>
        <w:t>Yearbook of Islamic and Middle Eastern Law</w:t>
      </w:r>
      <w:r w:rsidRPr="00D4643C">
        <w:rPr>
          <w:rFonts w:asciiTheme="majorBidi" w:hAnsiTheme="majorBidi" w:cstheme="majorBidi"/>
          <w:color w:val="000000" w:themeColor="text1"/>
          <w:szCs w:val="20"/>
          <w:shd w:val="clear" w:color="auto" w:fill="FFFFFF"/>
        </w:rPr>
        <w:t xml:space="preserve"> 3, 1996, 64-84.</w:t>
      </w:r>
    </w:p>
  </w:footnote>
  <w:footnote w:id="66">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eastAsiaTheme="minorHAnsi" w:hAnsiTheme="majorBidi" w:cstheme="majorBidi"/>
          <w:color w:val="000000" w:themeColor="text1"/>
          <w:szCs w:val="20"/>
          <w:lang w:bidi="he-IL"/>
        </w:rPr>
        <w:t xml:space="preserve">B. </w:t>
      </w:r>
      <w:proofErr w:type="spellStart"/>
      <w:r w:rsidRPr="00D4643C">
        <w:rPr>
          <w:rFonts w:asciiTheme="majorBidi" w:eastAsiaTheme="minorHAnsi" w:hAnsiTheme="majorBidi" w:cstheme="majorBidi"/>
          <w:color w:val="000000" w:themeColor="text1"/>
          <w:szCs w:val="20"/>
          <w:lang w:bidi="he-IL"/>
        </w:rPr>
        <w:t>Labes</w:t>
      </w:r>
      <w:proofErr w:type="spellEnd"/>
      <w:r w:rsidRPr="00D4643C">
        <w:rPr>
          <w:rFonts w:asciiTheme="majorBidi" w:eastAsiaTheme="minorHAnsi" w:hAnsiTheme="majorBidi" w:cstheme="majorBidi"/>
          <w:color w:val="000000" w:themeColor="text1"/>
          <w:szCs w:val="20"/>
          <w:lang w:bidi="he-IL"/>
        </w:rPr>
        <w:t xml:space="preserve">, </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The Law of Belligerent Occupation and the Legal Status of the Gaza Strip</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hAnsiTheme="majorBidi" w:cstheme="majorBidi"/>
          <w:color w:val="000000" w:themeColor="text1"/>
          <w:szCs w:val="20"/>
          <w:shd w:val="clear" w:color="auto" w:fill="FFFFFF"/>
        </w:rPr>
        <w:t> </w:t>
      </w:r>
      <w:r w:rsidRPr="00D4643C">
        <w:rPr>
          <w:rFonts w:asciiTheme="majorBidi" w:hAnsiTheme="majorBidi" w:cstheme="majorBidi"/>
          <w:i/>
          <w:iCs/>
          <w:color w:val="000000" w:themeColor="text1"/>
          <w:szCs w:val="20"/>
        </w:rPr>
        <w:t>Michigan Yearbook of International Legal Studies</w:t>
      </w:r>
      <w:r w:rsidRPr="00D4643C">
        <w:rPr>
          <w:rFonts w:asciiTheme="majorBidi" w:hAnsiTheme="majorBidi" w:cstheme="majorBidi"/>
          <w:color w:val="000000" w:themeColor="text1"/>
          <w:szCs w:val="20"/>
          <w:shd w:val="clear" w:color="auto" w:fill="FFFFFF"/>
        </w:rPr>
        <w:t xml:space="preserve"> 9, 1988, 383-410</w:t>
      </w:r>
      <w:r w:rsidRPr="00D4643C">
        <w:rPr>
          <w:rFonts w:asciiTheme="majorBidi" w:hAnsiTheme="majorBidi" w:cstheme="majorBidi"/>
          <w:color w:val="000000" w:themeColor="text1"/>
          <w:szCs w:val="20"/>
        </w:rPr>
        <w:t>.</w:t>
      </w:r>
    </w:p>
  </w:footnote>
  <w:footnote w:id="6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Order Concerning t</w:t>
      </w:r>
      <w:r>
        <w:rPr>
          <w:rFonts w:asciiTheme="majorBidi" w:hAnsiTheme="majorBidi" w:cstheme="majorBidi"/>
          <w:color w:val="000000" w:themeColor="text1"/>
          <w:szCs w:val="20"/>
        </w:rPr>
        <w:t>he Closure of an Area of 6 Mar.</w:t>
      </w:r>
      <w:r w:rsidRPr="00D4643C">
        <w:rPr>
          <w:rFonts w:asciiTheme="majorBidi" w:hAnsiTheme="majorBidi" w:cstheme="majorBidi"/>
          <w:color w:val="000000" w:themeColor="text1"/>
          <w:szCs w:val="20"/>
        </w:rPr>
        <w:t xml:space="preserve"> 1985 (Israeli Army, </w:t>
      </w:r>
      <w:r w:rsidRPr="00D4643C">
        <w:rPr>
          <w:rFonts w:asciiTheme="majorBidi" w:hAnsiTheme="majorBidi" w:cstheme="majorBidi"/>
          <w:i/>
          <w:iCs/>
          <w:color w:val="000000" w:themeColor="text1"/>
          <w:szCs w:val="20"/>
        </w:rPr>
        <w:t>Proclamations, Orders and Appointments (Gaza Strip)</w:t>
      </w:r>
      <w:r w:rsidRPr="00D4643C">
        <w:rPr>
          <w:rFonts w:asciiTheme="majorBidi" w:hAnsiTheme="majorBidi" w:cstheme="majorBidi"/>
          <w:color w:val="000000" w:themeColor="text1"/>
          <w:szCs w:val="20"/>
        </w:rPr>
        <w:t>, No. 75, 1986, 3017).</w:t>
      </w:r>
    </w:p>
  </w:footnote>
  <w:footnote w:id="6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Order Concerning Closure </w:t>
      </w:r>
      <w:r>
        <w:rPr>
          <w:rFonts w:asciiTheme="majorBidi" w:hAnsiTheme="majorBidi" w:cstheme="majorBidi"/>
          <w:color w:val="000000" w:themeColor="text1"/>
          <w:szCs w:val="20"/>
        </w:rPr>
        <w:t>of an Area No. 1 of 14 Sep.</w:t>
      </w:r>
      <w:r w:rsidRPr="00D4643C">
        <w:rPr>
          <w:rFonts w:asciiTheme="majorBidi" w:hAnsiTheme="majorBidi" w:cstheme="majorBidi"/>
          <w:color w:val="000000" w:themeColor="text1"/>
          <w:szCs w:val="20"/>
        </w:rPr>
        <w:t xml:space="preserve"> 1967 (Israeli Army, </w:t>
      </w:r>
      <w:r w:rsidRPr="00D4643C">
        <w:rPr>
          <w:rFonts w:asciiTheme="majorBidi" w:hAnsiTheme="majorBidi" w:cstheme="majorBidi"/>
          <w:i/>
          <w:iCs/>
          <w:color w:val="000000" w:themeColor="text1"/>
          <w:szCs w:val="20"/>
        </w:rPr>
        <w:t>Proclamations, Orders and Appointments (Gaza Strip)</w:t>
      </w:r>
      <w:r w:rsidRPr="00D4643C">
        <w:rPr>
          <w:rFonts w:asciiTheme="majorBidi" w:hAnsiTheme="majorBidi" w:cstheme="majorBidi"/>
          <w:color w:val="000000" w:themeColor="text1"/>
          <w:szCs w:val="20"/>
        </w:rPr>
        <w:t>, No. 1, 1967, 39).</w:t>
      </w:r>
    </w:p>
  </w:footnote>
  <w:footnote w:id="69">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Gen</w:t>
      </w:r>
      <w:r>
        <w:rPr>
          <w:rFonts w:asciiTheme="majorBidi" w:hAnsiTheme="majorBidi" w:cstheme="majorBidi"/>
          <w:color w:val="000000" w:themeColor="text1"/>
          <w:szCs w:val="20"/>
        </w:rPr>
        <w:t>eral Exit Permit No. 2 of 3 Jul. 1972 (</w:t>
      </w:r>
      <w:r w:rsidRPr="00D4643C">
        <w:rPr>
          <w:rFonts w:asciiTheme="majorBidi" w:hAnsiTheme="majorBidi" w:cstheme="majorBidi"/>
          <w:color w:val="000000" w:themeColor="text1"/>
          <w:szCs w:val="20"/>
        </w:rPr>
        <w:t xml:space="preserve">Israeli Army, </w:t>
      </w:r>
      <w:r w:rsidRPr="00D4643C">
        <w:rPr>
          <w:rFonts w:asciiTheme="majorBidi" w:hAnsiTheme="majorBidi" w:cstheme="majorBidi"/>
          <w:i/>
          <w:iCs/>
          <w:color w:val="000000" w:themeColor="text1"/>
          <w:szCs w:val="20"/>
        </w:rPr>
        <w:t>Proclamations, Orders and Appointments (Gaza Strip)</w:t>
      </w:r>
      <w:r w:rsidRPr="00D4643C">
        <w:rPr>
          <w:rFonts w:asciiTheme="majorBidi" w:hAnsiTheme="majorBidi" w:cstheme="majorBidi"/>
          <w:color w:val="000000" w:themeColor="text1"/>
          <w:szCs w:val="20"/>
        </w:rPr>
        <w:t>, No. 34, 1972, 2863).</w:t>
      </w:r>
    </w:p>
  </w:footnote>
  <w:footnote w:id="70">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Order C</w:t>
      </w:r>
      <w:r w:rsidRPr="00D4643C">
        <w:rPr>
          <w:rFonts w:asciiTheme="majorBidi" w:hAnsiTheme="majorBidi" w:cstheme="majorBidi"/>
          <w:color w:val="000000" w:themeColor="text1"/>
          <w:szCs w:val="20"/>
        </w:rPr>
        <w:t xml:space="preserve">oncerning Identity Cards No. 406 of 25 October 1971 (Israeli Army, </w:t>
      </w:r>
      <w:r w:rsidRPr="00D4643C">
        <w:rPr>
          <w:rFonts w:asciiTheme="majorBidi" w:hAnsiTheme="majorBidi" w:cstheme="majorBidi"/>
          <w:i/>
          <w:iCs/>
          <w:color w:val="000000" w:themeColor="text1"/>
          <w:szCs w:val="20"/>
        </w:rPr>
        <w:t>Proclamations, Orders and Appointments (Gaza Strip)</w:t>
      </w:r>
      <w:r w:rsidRPr="00D4643C">
        <w:rPr>
          <w:rFonts w:asciiTheme="majorBidi" w:hAnsiTheme="majorBidi" w:cstheme="majorBidi"/>
          <w:color w:val="000000" w:themeColor="text1"/>
          <w:szCs w:val="20"/>
        </w:rPr>
        <w:t>, No. 31, 1972, 2477).</w:t>
      </w:r>
      <w:r>
        <w:rPr>
          <w:rFonts w:asciiTheme="majorBidi" w:hAnsiTheme="majorBidi" w:cstheme="majorBidi"/>
          <w:color w:val="000000" w:themeColor="text1"/>
          <w:szCs w:val="20"/>
        </w:rPr>
        <w:t xml:space="preserve"> These were similar to the identity cards issued in the West Bank. See above footnote 35.</w:t>
      </w:r>
    </w:p>
  </w:footnote>
  <w:footnote w:id="71">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Order C</w:t>
      </w:r>
      <w:r w:rsidRPr="00D4643C">
        <w:rPr>
          <w:rFonts w:asciiTheme="majorBidi" w:hAnsiTheme="majorBidi" w:cstheme="majorBidi"/>
          <w:color w:val="000000" w:themeColor="text1"/>
          <w:szCs w:val="20"/>
        </w:rPr>
        <w:t xml:space="preserve">oncerning the </w:t>
      </w:r>
      <w:proofErr w:type="spellStart"/>
      <w:r w:rsidRPr="00D4643C">
        <w:rPr>
          <w:rFonts w:asciiTheme="majorBidi" w:hAnsiTheme="majorBidi" w:cstheme="majorBidi"/>
          <w:color w:val="000000" w:themeColor="text1"/>
          <w:szCs w:val="20"/>
        </w:rPr>
        <w:t>Naot</w:t>
      </w:r>
      <w:proofErr w:type="spellEnd"/>
      <w:r w:rsidRPr="00D4643C">
        <w:rPr>
          <w:rFonts w:asciiTheme="majorBidi" w:hAnsiTheme="majorBidi" w:cstheme="majorBidi"/>
          <w:color w:val="000000" w:themeColor="text1"/>
          <w:szCs w:val="20"/>
        </w:rPr>
        <w:t xml:space="preserve"> Sinai Passa</w:t>
      </w:r>
      <w:r>
        <w:rPr>
          <w:rFonts w:asciiTheme="majorBidi" w:hAnsiTheme="majorBidi" w:cstheme="majorBidi"/>
          <w:color w:val="000000" w:themeColor="text1"/>
          <w:szCs w:val="20"/>
        </w:rPr>
        <w:t>ge Terminal No. 661 of 24 Aug.</w:t>
      </w:r>
      <w:r w:rsidRPr="00D4643C">
        <w:rPr>
          <w:rFonts w:asciiTheme="majorBidi" w:hAnsiTheme="majorBidi" w:cstheme="majorBidi"/>
          <w:color w:val="000000" w:themeColor="text1"/>
          <w:szCs w:val="20"/>
        </w:rPr>
        <w:t xml:space="preserve"> 1980 (Israeli Army, </w:t>
      </w:r>
      <w:r w:rsidRPr="00D4643C">
        <w:rPr>
          <w:rFonts w:asciiTheme="majorBidi" w:hAnsiTheme="majorBidi" w:cstheme="majorBidi"/>
          <w:i/>
          <w:iCs/>
          <w:color w:val="000000" w:themeColor="text1"/>
          <w:szCs w:val="20"/>
        </w:rPr>
        <w:t>Proclamations, Orders and Appointments (Gaza Strip)</w:t>
      </w:r>
      <w:r w:rsidRPr="00D4643C">
        <w:rPr>
          <w:rFonts w:asciiTheme="majorBidi" w:hAnsiTheme="majorBidi" w:cstheme="majorBidi"/>
          <w:color w:val="000000" w:themeColor="text1"/>
          <w:szCs w:val="20"/>
        </w:rPr>
        <w:t xml:space="preserve">, No. 43, 1981, 4077). As we saw in the </w:t>
      </w:r>
      <w:r>
        <w:rPr>
          <w:rFonts w:asciiTheme="majorBidi" w:hAnsiTheme="majorBidi" w:cstheme="majorBidi"/>
          <w:color w:val="000000" w:themeColor="text1"/>
          <w:szCs w:val="20"/>
        </w:rPr>
        <w:t xml:space="preserve">case of </w:t>
      </w:r>
      <w:r w:rsidRPr="00D4643C">
        <w:rPr>
          <w:rFonts w:asciiTheme="majorBidi" w:hAnsiTheme="majorBidi" w:cstheme="majorBidi"/>
          <w:color w:val="000000" w:themeColor="text1"/>
          <w:szCs w:val="20"/>
        </w:rPr>
        <w:t xml:space="preserve">West Bank above, thousands of Gazans were not allowed to return. Others were forcibly deported. Israel adopted the same family reunification </w:t>
      </w:r>
      <w:r>
        <w:rPr>
          <w:rFonts w:asciiTheme="majorBidi" w:hAnsiTheme="majorBidi" w:cstheme="majorBidi"/>
          <w:color w:val="000000" w:themeColor="text1"/>
          <w:szCs w:val="20"/>
        </w:rPr>
        <w:t xml:space="preserve">system </w:t>
      </w:r>
      <w:r w:rsidRPr="00D4643C">
        <w:rPr>
          <w:rFonts w:asciiTheme="majorBidi" w:hAnsiTheme="majorBidi" w:cstheme="majorBidi"/>
          <w:color w:val="000000" w:themeColor="text1"/>
          <w:szCs w:val="20"/>
        </w:rPr>
        <w:t xml:space="preserve">as </w:t>
      </w:r>
      <w:r>
        <w:rPr>
          <w:rFonts w:asciiTheme="majorBidi" w:hAnsiTheme="majorBidi" w:cstheme="majorBidi"/>
          <w:color w:val="000000" w:themeColor="text1"/>
          <w:szCs w:val="20"/>
        </w:rPr>
        <w:t xml:space="preserve">in </w:t>
      </w:r>
      <w:r w:rsidRPr="00D4643C">
        <w:rPr>
          <w:rFonts w:asciiTheme="majorBidi" w:hAnsiTheme="majorBidi" w:cstheme="majorBidi"/>
          <w:color w:val="000000" w:themeColor="text1"/>
          <w:szCs w:val="20"/>
        </w:rPr>
        <w:t>the case of the West Bank. This policy created a category of Gazans called “identity card losers”.</w:t>
      </w:r>
    </w:p>
  </w:footnote>
  <w:footnote w:id="7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R. </w:t>
      </w:r>
      <w:proofErr w:type="spellStart"/>
      <w:r w:rsidRPr="00D4643C">
        <w:rPr>
          <w:rFonts w:asciiTheme="majorBidi" w:hAnsiTheme="majorBidi" w:cstheme="majorBidi"/>
          <w:color w:val="000000" w:themeColor="text1"/>
          <w:szCs w:val="20"/>
        </w:rPr>
        <w:t>Shehadeh</w:t>
      </w:r>
      <w:proofErr w:type="spellEnd"/>
      <w:r w:rsidRPr="00D4643C">
        <w:rPr>
          <w:rFonts w:asciiTheme="majorBidi" w:hAnsiTheme="majorBidi" w:cstheme="majorBidi"/>
          <w:color w:val="000000" w:themeColor="text1"/>
          <w:szCs w:val="20"/>
        </w:rPr>
        <w:t>, “The Gaza Occupation: Beginnings and Endings”,</w:t>
      </w:r>
      <w:r w:rsidRPr="00D4643C">
        <w:rPr>
          <w:rFonts w:asciiTheme="majorBidi" w:hAnsiTheme="majorBidi" w:cstheme="majorBidi"/>
          <w:color w:val="000000" w:themeColor="text1"/>
          <w:szCs w:val="20"/>
          <w:shd w:val="clear" w:color="auto" w:fill="FFFFFF"/>
        </w:rPr>
        <w:t> </w:t>
      </w:r>
      <w:r w:rsidRPr="00D4643C">
        <w:rPr>
          <w:rFonts w:asciiTheme="majorBidi" w:hAnsiTheme="majorBidi" w:cstheme="majorBidi"/>
          <w:i/>
          <w:iCs/>
          <w:color w:val="000000" w:themeColor="text1"/>
          <w:szCs w:val="20"/>
        </w:rPr>
        <w:t>Palestine Yearbook of International Law</w:t>
      </w:r>
      <w:r w:rsidRPr="00D4643C">
        <w:rPr>
          <w:rFonts w:asciiTheme="majorBidi" w:hAnsiTheme="majorBidi" w:cstheme="majorBidi"/>
          <w:color w:val="000000" w:themeColor="text1"/>
          <w:szCs w:val="20"/>
          <w:shd w:val="clear" w:color="auto" w:fill="FFFFFF"/>
        </w:rPr>
        <w:t>, 14, 13-26.</w:t>
      </w:r>
    </w:p>
  </w:footnote>
  <w:footnote w:id="73">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eastAsiaTheme="minorHAnsi" w:hAnsiTheme="majorBidi" w:cstheme="majorBidi"/>
          <w:color w:val="000000" w:themeColor="text1"/>
          <w:szCs w:val="20"/>
          <w:lang w:bidi="he-IL"/>
        </w:rPr>
        <w:t xml:space="preserve">S. Darcy &amp; J. Reynolds, </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An Enduring Occupation: The Status of the Gaza Strip from the Perspective of International Humanitarian Law</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eastAsiaTheme="minorHAnsi" w:hAnsiTheme="majorBidi" w:cstheme="majorBidi"/>
          <w:color w:val="000000" w:themeColor="text1"/>
          <w:szCs w:val="20"/>
          <w:shd w:val="clear" w:color="auto" w:fill="F5F5F5"/>
          <w:lang w:bidi="he-IL"/>
        </w:rPr>
        <w:t> </w:t>
      </w:r>
      <w:r w:rsidRPr="00D4643C">
        <w:rPr>
          <w:rFonts w:asciiTheme="majorBidi" w:eastAsiaTheme="minorHAnsi" w:hAnsiTheme="majorBidi" w:cstheme="majorBidi"/>
          <w:i/>
          <w:iCs/>
          <w:color w:val="000000" w:themeColor="text1"/>
          <w:szCs w:val="20"/>
          <w:lang w:bidi="he-IL"/>
        </w:rPr>
        <w:t>Journal of Conflict and Security Law</w:t>
      </w:r>
      <w:r w:rsidRPr="00D4643C">
        <w:rPr>
          <w:rFonts w:asciiTheme="majorBidi" w:eastAsiaTheme="minorHAnsi" w:hAnsiTheme="majorBidi" w:cstheme="majorBidi"/>
          <w:color w:val="000000" w:themeColor="text1"/>
          <w:szCs w:val="20"/>
          <w:shd w:val="clear" w:color="auto" w:fill="FFFFFF"/>
          <w:lang w:bidi="he-IL"/>
        </w:rPr>
        <w:t>, 15(2), 2010, 211-244, 227.</w:t>
      </w:r>
    </w:p>
  </w:footnote>
  <w:footnote w:id="74">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eastAsiaTheme="minorHAnsi" w:hAnsiTheme="majorBidi" w:cstheme="majorBidi"/>
          <w:color w:val="000000" w:themeColor="text1"/>
          <w:szCs w:val="20"/>
          <w:lang w:bidi="he-IL"/>
        </w:rPr>
        <w:t xml:space="preserve"> N. </w:t>
      </w:r>
      <w:proofErr w:type="spellStart"/>
      <w:r w:rsidRPr="00D4643C">
        <w:rPr>
          <w:rFonts w:asciiTheme="majorBidi" w:eastAsiaTheme="minorHAnsi" w:hAnsiTheme="majorBidi" w:cstheme="majorBidi"/>
          <w:color w:val="000000" w:themeColor="text1"/>
          <w:szCs w:val="20"/>
          <w:lang w:bidi="he-IL"/>
        </w:rPr>
        <w:t>Erakat</w:t>
      </w:r>
      <w:proofErr w:type="spellEnd"/>
      <w:r w:rsidRPr="00D4643C">
        <w:rPr>
          <w:rFonts w:asciiTheme="majorBidi" w:eastAsiaTheme="minorHAnsi" w:hAnsiTheme="majorBidi" w:cstheme="majorBidi"/>
          <w:color w:val="000000" w:themeColor="text1"/>
          <w:szCs w:val="20"/>
          <w:lang w:bidi="he-IL"/>
        </w:rPr>
        <w:t>,</w:t>
      </w:r>
      <w:r w:rsidRPr="00D4643C">
        <w:rPr>
          <w:rFonts w:asciiTheme="majorBidi" w:hAnsiTheme="majorBidi" w:cstheme="majorBidi"/>
          <w:color w:val="000000" w:themeColor="text1"/>
          <w:szCs w:val="20"/>
        </w:rPr>
        <w:t xml:space="preserve"> “</w:t>
      </w:r>
      <w:r w:rsidRPr="00D4643C">
        <w:rPr>
          <w:rFonts w:asciiTheme="majorBidi" w:eastAsiaTheme="minorHAnsi" w:hAnsiTheme="majorBidi" w:cstheme="majorBidi"/>
          <w:color w:val="000000" w:themeColor="text1"/>
          <w:szCs w:val="20"/>
          <w:lang w:bidi="he-IL"/>
        </w:rPr>
        <w:t>It</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s Not Wrong, It</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s Illegal: Situating the Gaza Blockade between International Law and the UN Response</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UCLA Journal of Islamic and Near Eastern Law</w:t>
      </w:r>
      <w:r w:rsidRPr="00D4643C">
        <w:rPr>
          <w:rFonts w:asciiTheme="majorBidi" w:hAnsiTheme="majorBidi" w:cstheme="majorBidi"/>
          <w:color w:val="000000" w:themeColor="text1"/>
          <w:szCs w:val="20"/>
          <w:shd w:val="clear" w:color="auto" w:fill="FFFFFF"/>
        </w:rPr>
        <w:t>, 11, 2012, 37-84.</w:t>
      </w:r>
    </w:p>
  </w:footnote>
  <w:footnote w:id="75">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Gisha</w:t>
      </w:r>
      <w:proofErr w:type="spellEnd"/>
      <w:r w:rsidRPr="00D4643C">
        <w:rPr>
          <w:rFonts w:asciiTheme="majorBidi" w:hAnsiTheme="majorBidi" w:cstheme="majorBidi"/>
          <w:color w:val="000000" w:themeColor="text1"/>
          <w:szCs w:val="20"/>
        </w:rPr>
        <w:t xml:space="preserve">- Legal Center for Freedom of Movement, </w:t>
      </w:r>
      <w:proofErr w:type="spellStart"/>
      <w:r w:rsidRPr="00D4643C">
        <w:rPr>
          <w:rFonts w:asciiTheme="majorBidi" w:hAnsiTheme="majorBidi" w:cstheme="majorBidi"/>
          <w:i/>
          <w:iCs/>
          <w:color w:val="000000" w:themeColor="text1"/>
          <w:szCs w:val="20"/>
        </w:rPr>
        <w:t>Rafah</w:t>
      </w:r>
      <w:proofErr w:type="spellEnd"/>
      <w:r w:rsidRPr="00D4643C">
        <w:rPr>
          <w:rFonts w:asciiTheme="majorBidi" w:hAnsiTheme="majorBidi" w:cstheme="majorBidi"/>
          <w:i/>
          <w:iCs/>
          <w:color w:val="000000" w:themeColor="text1"/>
          <w:szCs w:val="20"/>
        </w:rPr>
        <w:t xml:space="preserve"> Crossing: How Holds the Keys</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 xml:space="preserve">Tel Aviv, </w:t>
      </w:r>
      <w:r w:rsidRPr="00D4643C">
        <w:rPr>
          <w:rFonts w:asciiTheme="majorBidi" w:hAnsiTheme="majorBidi" w:cstheme="majorBidi"/>
          <w:color w:val="000000" w:themeColor="text1"/>
          <w:szCs w:val="20"/>
        </w:rPr>
        <w:t>Physicians f</w:t>
      </w:r>
      <w:r>
        <w:rPr>
          <w:rFonts w:asciiTheme="majorBidi" w:hAnsiTheme="majorBidi" w:cstheme="majorBidi"/>
          <w:color w:val="000000" w:themeColor="text1"/>
          <w:szCs w:val="20"/>
        </w:rPr>
        <w:t>or Human Rights Israel</w:t>
      </w:r>
      <w:r w:rsidRPr="00D4643C">
        <w:rPr>
          <w:rFonts w:asciiTheme="majorBidi" w:hAnsiTheme="majorBidi" w:cstheme="majorBidi"/>
          <w:color w:val="000000" w:themeColor="text1"/>
          <w:szCs w:val="20"/>
        </w:rPr>
        <w:t>, 2009, 35-63, 125-132.</w:t>
      </w:r>
    </w:p>
  </w:footnote>
  <w:footnote w:id="76">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I. </w:t>
      </w:r>
      <w:proofErr w:type="spellStart"/>
      <w:r w:rsidRPr="00D4643C">
        <w:rPr>
          <w:rFonts w:asciiTheme="majorBidi" w:hAnsiTheme="majorBidi" w:cstheme="majorBidi"/>
          <w:color w:val="000000" w:themeColor="text1"/>
          <w:szCs w:val="20"/>
        </w:rPr>
        <w:t>Wadi</w:t>
      </w:r>
      <w:proofErr w:type="spellEnd"/>
      <w:r w:rsidRPr="00D4643C">
        <w:rPr>
          <w:rFonts w:asciiTheme="majorBidi" w:hAnsiTheme="majorBidi" w:cstheme="majorBidi"/>
          <w:color w:val="000000" w:themeColor="text1"/>
          <w:szCs w:val="20"/>
        </w:rPr>
        <w:t xml:space="preserve">, </w:t>
      </w:r>
      <w:r>
        <w:rPr>
          <w:rFonts w:asciiTheme="majorBidi" w:hAnsiTheme="majorBidi" w:cstheme="majorBidi"/>
          <w:i/>
          <w:iCs/>
          <w:color w:val="000000" w:themeColor="text1"/>
          <w:szCs w:val="20"/>
        </w:rPr>
        <w:t>The Palestinian Tunnels B</w:t>
      </w:r>
      <w:r w:rsidRPr="00D4643C">
        <w:rPr>
          <w:rFonts w:asciiTheme="majorBidi" w:hAnsiTheme="majorBidi" w:cstheme="majorBidi"/>
          <w:i/>
          <w:iCs/>
          <w:color w:val="000000" w:themeColor="text1"/>
          <w:szCs w:val="20"/>
        </w:rPr>
        <w:t>etween Gaza Strip and Sinai: A Political Geography Study</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Gaza, Islamic University</w:t>
      </w:r>
      <w:r w:rsidRPr="00D4643C">
        <w:rPr>
          <w:rFonts w:asciiTheme="majorBidi" w:hAnsiTheme="majorBidi" w:cstheme="majorBidi"/>
          <w:color w:val="000000" w:themeColor="text1"/>
          <w:szCs w:val="20"/>
        </w:rPr>
        <w:t>, 2014 (master’s thesis).</w:t>
      </w:r>
    </w:p>
  </w:footnote>
  <w:footnote w:id="7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“Ongoing Exodus: Palestinians Returning to Gaza from Syria”, </w:t>
      </w:r>
      <w:r>
        <w:rPr>
          <w:rFonts w:asciiTheme="majorBidi" w:hAnsiTheme="majorBidi" w:cstheme="majorBidi"/>
          <w:i/>
          <w:iCs/>
          <w:color w:val="000000" w:themeColor="text1"/>
          <w:szCs w:val="20"/>
        </w:rPr>
        <w:t>The Right of Return</w:t>
      </w:r>
      <w:r w:rsidRPr="00D4643C">
        <w:rPr>
          <w:rFonts w:asciiTheme="majorBidi" w:hAnsiTheme="majorBidi" w:cstheme="majorBidi"/>
          <w:i/>
          <w:iCs/>
          <w:color w:val="000000" w:themeColor="text1"/>
          <w:szCs w:val="20"/>
        </w:rPr>
        <w:t xml:space="preserve"> Magazine</w:t>
      </w:r>
      <w:r w:rsidRPr="00D4643C">
        <w:rPr>
          <w:rFonts w:asciiTheme="majorBidi" w:hAnsiTheme="majorBidi" w:cstheme="majorBidi"/>
          <w:color w:val="000000" w:themeColor="text1"/>
          <w:szCs w:val="20"/>
        </w:rPr>
        <w:t>, 6(68), 2013.</w:t>
      </w:r>
    </w:p>
  </w:footnote>
  <w:footnote w:id="7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“Syrian Refugees Flee to Relative Safety in Gaza”, </w:t>
      </w:r>
      <w:r w:rsidRPr="00D4643C">
        <w:rPr>
          <w:rFonts w:asciiTheme="majorBidi" w:hAnsiTheme="majorBidi" w:cstheme="majorBidi"/>
          <w:i/>
          <w:iCs/>
          <w:color w:val="000000" w:themeColor="text1"/>
          <w:szCs w:val="20"/>
        </w:rPr>
        <w:t>The Guardian</w:t>
      </w:r>
      <w:r w:rsidRPr="00D4643C">
        <w:rPr>
          <w:rFonts w:asciiTheme="majorBidi" w:hAnsiTheme="majorBidi" w:cstheme="majorBidi"/>
          <w:color w:val="000000" w:themeColor="text1"/>
          <w:szCs w:val="20"/>
        </w:rPr>
        <w:t>, 30 Apr. 2013, available at: http://www.theguardian.com (last visited 21 Aug. 2015).</w:t>
      </w:r>
    </w:p>
  </w:footnote>
  <w:footnote w:id="79">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In June 2013, UNRWA estimated the number of Palestinian refugees arriving from Syria to Gaza at about 1,000. UNRWA, “Nowhere to Go, Palestine Refugees from Syria Arrive in Gaza”, Gaza, 20 Jun. 2013, available at: http://www.unrwa.org (last visited 21 Aug. 2015).</w:t>
      </w:r>
    </w:p>
  </w:footnote>
  <w:footnote w:id="80">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General Exit Permit No. 5 of 2 Jul. 1972 (Israeli Army, </w:t>
      </w:r>
      <w:r w:rsidRPr="00D4643C">
        <w:rPr>
          <w:rFonts w:asciiTheme="majorBidi" w:hAnsiTheme="majorBidi" w:cstheme="majorBidi"/>
          <w:i/>
          <w:iCs/>
          <w:color w:val="000000" w:themeColor="text1"/>
          <w:szCs w:val="20"/>
        </w:rPr>
        <w:t>Proclamations, Orders and Appointments (West Bank)</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31, 1973, 1228, Art. 2); General Permit of Exit of 27 Apr. 1972 (Israeli Army, </w:t>
      </w:r>
      <w:r w:rsidRPr="00D4643C">
        <w:rPr>
          <w:rFonts w:asciiTheme="majorBidi" w:hAnsiTheme="majorBidi" w:cstheme="majorBidi"/>
          <w:i/>
          <w:iCs/>
          <w:color w:val="000000" w:themeColor="text1"/>
          <w:szCs w:val="20"/>
        </w:rPr>
        <w:t>Proclamations, Orders and Appointments (Gaza Strip)</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34, 1972, 2861, Art. 2).</w:t>
      </w:r>
    </w:p>
  </w:footnote>
  <w:footnote w:id="81">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Instructions Concerning Suspension of the General Exit Permit No. 2 of 28 March 1988 (Israeli Army, </w:t>
      </w:r>
      <w:r w:rsidRPr="00D4643C">
        <w:rPr>
          <w:rFonts w:asciiTheme="majorBidi" w:hAnsiTheme="majorBidi" w:cstheme="majorBidi"/>
          <w:i/>
          <w:iCs/>
          <w:color w:val="000000" w:themeColor="text1"/>
          <w:szCs w:val="20"/>
        </w:rPr>
        <w:t>Proclamations, Orders and Appointments (Gaza Strip)</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89, 1991, 9843).</w:t>
      </w:r>
    </w:p>
  </w:footnote>
  <w:footnote w:id="8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lang w:bidi="ar-SA"/>
        </w:rPr>
        <w:t>Instructions Concerning the Suspension of Exit Permits from the Region No. 3 of 27 Oct. 1994 (</w:t>
      </w:r>
      <w:r w:rsidRPr="00D4643C">
        <w:rPr>
          <w:rFonts w:asciiTheme="majorBidi" w:hAnsiTheme="majorBidi" w:cstheme="majorBidi"/>
          <w:color w:val="000000" w:themeColor="text1"/>
          <w:szCs w:val="20"/>
        </w:rPr>
        <w:t xml:space="preserve">Israeli Army, </w:t>
      </w:r>
      <w:r w:rsidRPr="00D4643C">
        <w:rPr>
          <w:rFonts w:asciiTheme="majorBidi" w:hAnsiTheme="majorBidi" w:cstheme="majorBidi"/>
          <w:i/>
          <w:iCs/>
          <w:color w:val="000000" w:themeColor="text1"/>
          <w:szCs w:val="20"/>
        </w:rPr>
        <w:t>Proclamations, Orders and Appointments (West Bank)</w:t>
      </w:r>
      <w:r>
        <w:rPr>
          <w:rFonts w:asciiTheme="majorBidi" w:hAnsiTheme="majorBidi" w:cstheme="majorBidi"/>
          <w:color w:val="000000" w:themeColor="text1"/>
          <w:szCs w:val="20"/>
        </w:rPr>
        <w:t>, 158, 1994, 1719).</w:t>
      </w:r>
    </w:p>
  </w:footnote>
  <w:footnote w:id="83">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E.g. in 1996, Israel ordered Gazan students who were studying in West Bank universities to depart to Gaza. Instructions Concerning Suspension of Entry and Stay Permits to the Region (Students</w:t>
      </w:r>
      <w:r>
        <w:rPr>
          <w:rFonts w:asciiTheme="majorBidi" w:hAnsiTheme="majorBidi" w:cstheme="majorBidi"/>
          <w:color w:val="000000" w:themeColor="text1"/>
          <w:szCs w:val="20"/>
        </w:rPr>
        <w:t xml:space="preserve"> from the Gaza Strip) of 7 Mar.</w:t>
      </w:r>
      <w:r w:rsidRPr="00D4643C">
        <w:rPr>
          <w:rFonts w:asciiTheme="majorBidi" w:hAnsiTheme="majorBidi" w:cstheme="majorBidi"/>
          <w:color w:val="000000" w:themeColor="text1"/>
          <w:szCs w:val="20"/>
        </w:rPr>
        <w:t xml:space="preserve"> 1996 (Israeli Army, </w:t>
      </w:r>
      <w:r w:rsidRPr="00D4643C">
        <w:rPr>
          <w:rFonts w:asciiTheme="majorBidi" w:hAnsiTheme="majorBidi" w:cstheme="majorBidi"/>
          <w:i/>
          <w:iCs/>
          <w:color w:val="000000" w:themeColor="text1"/>
          <w:szCs w:val="20"/>
        </w:rPr>
        <w:t>Proclamations, Orders and Appointments (Gaza Strip)</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165, 1996, 2014, Art. 2).</w:t>
      </w:r>
    </w:p>
  </w:footnote>
  <w:footnote w:id="84">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Palestinian News and Information Agency, “Civil Affairs Commission: We Got Approval for 1956 Gazans to Change Address to the West Bank”, Ramallah, 2 Aug. 2011, available at: http://www.wafa.ps (last visited 21 Aug. 2015).</w:t>
      </w:r>
    </w:p>
  </w:footnote>
  <w:footnote w:id="85">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 Baker, “Institutionalization of the Expulsion of Palestinians Legally”, </w:t>
      </w:r>
      <w:r w:rsidRPr="00D4643C">
        <w:rPr>
          <w:rFonts w:asciiTheme="majorBidi" w:hAnsiTheme="majorBidi" w:cstheme="majorBidi"/>
          <w:i/>
          <w:iCs/>
          <w:color w:val="000000" w:themeColor="text1"/>
          <w:szCs w:val="20"/>
        </w:rPr>
        <w:t>Journal of Palestine Studies</w:t>
      </w:r>
      <w:r>
        <w:rPr>
          <w:rFonts w:asciiTheme="majorBidi" w:hAnsiTheme="majorBidi" w:cstheme="majorBidi"/>
          <w:color w:val="000000" w:themeColor="text1"/>
          <w:szCs w:val="20"/>
        </w:rPr>
        <w:t xml:space="preserve"> 21(84), 2010, 1-7</w:t>
      </w:r>
      <w:r w:rsidRPr="00D4643C">
        <w:rPr>
          <w:rFonts w:asciiTheme="majorBidi" w:hAnsiTheme="majorBidi" w:cstheme="majorBidi"/>
          <w:color w:val="000000" w:themeColor="text1"/>
          <w:szCs w:val="20"/>
        </w:rPr>
        <w:t>.</w:t>
      </w:r>
    </w:p>
  </w:footnote>
  <w:footnote w:id="86">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Ibid.</w:t>
      </w:r>
      <w:r w:rsidRPr="00D4643C">
        <w:rPr>
          <w:rFonts w:asciiTheme="majorBidi" w:hAnsiTheme="majorBidi" w:cstheme="majorBidi"/>
          <w:color w:val="000000" w:themeColor="text1"/>
          <w:szCs w:val="20"/>
        </w:rPr>
        <w:t>, 1</w:t>
      </w:r>
    </w:p>
  </w:footnote>
  <w:footnote w:id="8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HaMoked</w:t>
      </w:r>
      <w:proofErr w:type="spellEnd"/>
      <w:r w:rsidRPr="00D4643C">
        <w:rPr>
          <w:rFonts w:asciiTheme="majorBidi" w:hAnsiTheme="majorBidi" w:cstheme="majorBidi"/>
          <w:color w:val="000000" w:themeColor="text1"/>
          <w:szCs w:val="20"/>
        </w:rPr>
        <w:t xml:space="preserve">, “Information provided by COGAT to </w:t>
      </w:r>
      <w:proofErr w:type="spellStart"/>
      <w:r w:rsidRPr="00D4643C">
        <w:rPr>
          <w:rFonts w:asciiTheme="majorBidi" w:hAnsiTheme="majorBidi" w:cstheme="majorBidi"/>
          <w:color w:val="000000" w:themeColor="text1"/>
          <w:szCs w:val="20"/>
        </w:rPr>
        <w:t>HaMoked</w:t>
      </w:r>
      <w:proofErr w:type="spellEnd"/>
      <w:r w:rsidRPr="00D4643C">
        <w:rPr>
          <w:rFonts w:asciiTheme="majorBidi" w:hAnsiTheme="majorBidi" w:cstheme="majorBidi"/>
          <w:color w:val="000000" w:themeColor="text1"/>
          <w:szCs w:val="20"/>
        </w:rPr>
        <w:t xml:space="preserve"> indicates that some 35,000 Palestinians who live in the West Bank were labeled by Israel as “illegal aliens” liable for expulsion, because their registered address is in Gaza”, 6 Jul. 2010, available at: http://www.hamoked.org (last visited 21 Aug. 2015).</w:t>
      </w:r>
    </w:p>
  </w:footnote>
  <w:footnote w:id="8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32 </w:t>
      </w:r>
      <w:r w:rsidRPr="00B04C71">
        <w:rPr>
          <w:rFonts w:asciiTheme="majorBidi" w:hAnsiTheme="majorBidi" w:cstheme="majorBidi"/>
          <w:color w:val="000000" w:themeColor="text1"/>
          <w:szCs w:val="20"/>
        </w:rPr>
        <w:t>ILM</w:t>
      </w:r>
      <w:r w:rsidRPr="00D4643C">
        <w:rPr>
          <w:rFonts w:asciiTheme="majorBidi" w:hAnsiTheme="majorBidi" w:cstheme="majorBidi"/>
          <w:color w:val="000000" w:themeColor="text1"/>
          <w:szCs w:val="20"/>
        </w:rPr>
        <w:t>, 1993, 1525.</w:t>
      </w:r>
    </w:p>
  </w:footnote>
  <w:footnote w:id="89">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eastAsiaTheme="minorHAnsi" w:hAnsiTheme="majorBidi" w:cstheme="majorBidi"/>
          <w:color w:val="000000" w:themeColor="text1"/>
          <w:szCs w:val="20"/>
          <w:shd w:val="clear" w:color="auto" w:fill="FFFFFF"/>
          <w:lang w:bidi="ar-SA"/>
        </w:rPr>
        <w:t>36 </w:t>
      </w:r>
      <w:r w:rsidRPr="00B04C71">
        <w:rPr>
          <w:rFonts w:asciiTheme="majorBidi" w:eastAsiaTheme="minorHAnsi" w:hAnsiTheme="majorBidi" w:cstheme="majorBidi"/>
          <w:color w:val="000000" w:themeColor="text1"/>
          <w:szCs w:val="20"/>
          <w:shd w:val="clear" w:color="auto" w:fill="FFFFFF"/>
          <w:lang w:bidi="ar-SA"/>
        </w:rPr>
        <w:t>ILM</w:t>
      </w:r>
      <w:r w:rsidRPr="00D4643C">
        <w:rPr>
          <w:rFonts w:asciiTheme="majorBidi" w:eastAsiaTheme="minorHAnsi" w:hAnsiTheme="majorBidi" w:cstheme="majorBidi"/>
          <w:color w:val="000000" w:themeColor="text1"/>
          <w:szCs w:val="20"/>
          <w:shd w:val="clear" w:color="auto" w:fill="FFFFFF"/>
          <w:lang w:bidi="ar-SA"/>
        </w:rPr>
        <w:t xml:space="preserve"> 1997, 551</w:t>
      </w:r>
      <w:r w:rsidRPr="00D4643C">
        <w:rPr>
          <w:rFonts w:asciiTheme="majorBidi" w:hAnsiTheme="majorBidi" w:cstheme="majorBidi"/>
          <w:color w:val="000000" w:themeColor="text1"/>
          <w:szCs w:val="20"/>
        </w:rPr>
        <w:t>.</w:t>
      </w:r>
    </w:p>
  </w:footnote>
  <w:footnote w:id="90">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Oslo II, Art.</w:t>
      </w:r>
      <w:r w:rsidRPr="00D4643C">
        <w:rPr>
          <w:rFonts w:asciiTheme="majorBidi" w:hAnsiTheme="majorBidi" w:cstheme="majorBidi"/>
          <w:color w:val="000000" w:themeColor="text1"/>
          <w:szCs w:val="20"/>
        </w:rPr>
        <w:t xml:space="preserve"> 28, </w:t>
      </w:r>
      <w:proofErr w:type="spellStart"/>
      <w:r w:rsidRPr="00D4643C">
        <w:rPr>
          <w:rFonts w:asciiTheme="majorBidi" w:hAnsiTheme="majorBidi" w:cstheme="majorBidi"/>
          <w:color w:val="000000" w:themeColor="text1"/>
          <w:szCs w:val="20"/>
        </w:rPr>
        <w:t>para</w:t>
      </w:r>
      <w:proofErr w:type="spellEnd"/>
      <w:r w:rsidRPr="00D4643C">
        <w:rPr>
          <w:rFonts w:asciiTheme="majorBidi" w:hAnsiTheme="majorBidi" w:cstheme="majorBidi"/>
          <w:color w:val="000000" w:themeColor="text1"/>
          <w:szCs w:val="20"/>
        </w:rPr>
        <w:t>. 7.</w:t>
      </w:r>
    </w:p>
  </w:footnote>
  <w:footnote w:id="91">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J.S. </w:t>
      </w:r>
      <w:proofErr w:type="spellStart"/>
      <w:r w:rsidRPr="00D4643C">
        <w:rPr>
          <w:rFonts w:asciiTheme="majorBidi" w:hAnsiTheme="majorBidi" w:cstheme="majorBidi"/>
          <w:color w:val="000000" w:themeColor="text1"/>
          <w:szCs w:val="20"/>
        </w:rPr>
        <w:t>Estapa</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Criteria for the Establishment of the Palestinian Citizenship within the Framework of a Palestinian Sovereign State</w:t>
      </w:r>
      <w:r w:rsidRPr="00D4643C">
        <w:rPr>
          <w:rFonts w:asciiTheme="majorBidi" w:hAnsiTheme="majorBidi" w:cstheme="majorBidi"/>
          <w:color w:val="000000" w:themeColor="text1"/>
          <w:szCs w:val="20"/>
        </w:rPr>
        <w:t>, Barcelona, University of Barcelona, 1997 (unpublished paper).</w:t>
      </w:r>
    </w:p>
  </w:footnote>
  <w:footnote w:id="92">
    <w:p w:rsidR="00A7663B" w:rsidRPr="00D4643C" w:rsidRDefault="00A7663B" w:rsidP="00B04C71">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 Zimmermann, “The Nationality of the Inhabitants of the Palestinian </w:t>
      </w:r>
      <w:r>
        <w:rPr>
          <w:rFonts w:asciiTheme="majorBidi" w:hAnsiTheme="majorBidi" w:cstheme="majorBidi"/>
          <w:color w:val="000000" w:themeColor="text1"/>
          <w:szCs w:val="20"/>
        </w:rPr>
        <w:t xml:space="preserve">Autonomous Territories”, in A. </w:t>
      </w:r>
      <w:proofErr w:type="spellStart"/>
      <w:r>
        <w:rPr>
          <w:rFonts w:asciiTheme="majorBidi" w:hAnsiTheme="majorBidi" w:cstheme="majorBidi"/>
          <w:color w:val="000000" w:themeColor="text1"/>
          <w:szCs w:val="20"/>
        </w:rPr>
        <w:t>Shapira</w:t>
      </w:r>
      <w:proofErr w:type="spellEnd"/>
      <w:r>
        <w:rPr>
          <w:rFonts w:asciiTheme="majorBidi" w:hAnsiTheme="majorBidi" w:cstheme="majorBidi"/>
          <w:color w:val="000000" w:themeColor="text1"/>
          <w:szCs w:val="20"/>
        </w:rPr>
        <w:t xml:space="preserve"> &amp; M.</w:t>
      </w:r>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Tabory</w:t>
      </w:r>
      <w:proofErr w:type="spellEnd"/>
      <w:r w:rsidRPr="00D4643C">
        <w:rPr>
          <w:rFonts w:asciiTheme="majorBidi" w:hAnsiTheme="majorBidi" w:cstheme="majorBidi"/>
          <w:color w:val="000000" w:themeColor="text1"/>
          <w:szCs w:val="20"/>
        </w:rPr>
        <w:t xml:space="preserve"> (eds.), </w:t>
      </w:r>
      <w:r w:rsidRPr="00D4643C">
        <w:rPr>
          <w:rFonts w:asciiTheme="majorBidi" w:hAnsiTheme="majorBidi" w:cstheme="majorBidi"/>
          <w:i/>
          <w:iCs/>
          <w:color w:val="000000" w:themeColor="text1"/>
          <w:szCs w:val="20"/>
        </w:rPr>
        <w:t>New Political Entities in Public and Private International Law with Special Reference to the Palestinian Entity</w:t>
      </w:r>
      <w:r w:rsidRPr="00D4643C">
        <w:rPr>
          <w:rFonts w:asciiTheme="majorBidi" w:hAnsiTheme="majorBidi" w:cstheme="majorBidi"/>
          <w:color w:val="000000" w:themeColor="text1"/>
          <w:szCs w:val="20"/>
        </w:rPr>
        <w:t>, The Hague/Boston/London, Kluwer Law International,</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1999, 231-246.</w:t>
      </w:r>
    </w:p>
  </w:footnote>
  <w:footnote w:id="93">
    <w:p w:rsidR="00A7663B" w:rsidRPr="00E92404" w:rsidRDefault="00A7663B">
      <w:pPr>
        <w:pStyle w:val="FootnoteText"/>
        <w:rPr>
          <w:color w:val="000000" w:themeColor="text1"/>
        </w:rPr>
      </w:pPr>
      <w:r w:rsidRPr="00E92404">
        <w:rPr>
          <w:rStyle w:val="FootnoteReference"/>
          <w:color w:val="000000" w:themeColor="text1"/>
        </w:rPr>
        <w:footnoteRef/>
      </w:r>
      <w:r w:rsidRPr="00E92404">
        <w:rPr>
          <w:color w:val="000000" w:themeColor="text1"/>
        </w:rPr>
        <w:t xml:space="preserve"> Oslo II, Art. XXX</w:t>
      </w:r>
      <w:r>
        <w:rPr>
          <w:color w:val="000000" w:themeColor="text1"/>
        </w:rPr>
        <w:t>,</w:t>
      </w:r>
      <w:r w:rsidRPr="00E92404">
        <w:rPr>
          <w:color w:val="000000" w:themeColor="text1"/>
        </w:rPr>
        <w:t xml:space="preserve"> and Annex </w:t>
      </w:r>
      <w:r>
        <w:rPr>
          <w:color w:val="000000" w:themeColor="text1"/>
        </w:rPr>
        <w:t>I.</w:t>
      </w:r>
    </w:p>
  </w:footnote>
  <w:footnote w:id="94">
    <w:p w:rsidR="00A7663B" w:rsidRPr="00D4643C" w:rsidRDefault="00A7663B" w:rsidP="00D4643C">
      <w:pPr>
        <w:bidi w:val="0"/>
        <w:ind w:right="-357"/>
        <w:jc w:val="both"/>
        <w:rPr>
          <w:rFonts w:asciiTheme="majorBidi" w:hAnsiTheme="majorBidi" w:cstheme="majorBidi"/>
          <w:color w:val="000000" w:themeColor="text1"/>
          <w:sz w:val="20"/>
          <w:szCs w:val="20"/>
        </w:rPr>
      </w:pPr>
      <w:r w:rsidRPr="00D4643C">
        <w:rPr>
          <w:rStyle w:val="FootnoteReference"/>
          <w:rFonts w:asciiTheme="majorBidi" w:hAnsiTheme="majorBidi" w:cstheme="majorBidi"/>
          <w:color w:val="000000" w:themeColor="text1"/>
          <w:sz w:val="20"/>
          <w:szCs w:val="20"/>
        </w:rPr>
        <w:footnoteRef/>
      </w:r>
      <w:r w:rsidRPr="00D4643C">
        <w:rPr>
          <w:rFonts w:asciiTheme="majorBidi" w:hAnsiTheme="majorBidi" w:cstheme="majorBidi"/>
          <w:color w:val="000000" w:themeColor="text1"/>
          <w:sz w:val="20"/>
          <w:szCs w:val="20"/>
        </w:rPr>
        <w:t xml:space="preserve"> K. Al-</w:t>
      </w:r>
      <w:proofErr w:type="spellStart"/>
      <w:r w:rsidRPr="00D4643C">
        <w:rPr>
          <w:rFonts w:asciiTheme="majorBidi" w:hAnsiTheme="majorBidi" w:cstheme="majorBidi"/>
          <w:color w:val="000000" w:themeColor="text1"/>
          <w:sz w:val="20"/>
          <w:szCs w:val="20"/>
        </w:rPr>
        <w:t>Sahili</w:t>
      </w:r>
      <w:proofErr w:type="spellEnd"/>
      <w:r w:rsidRPr="00D4643C">
        <w:rPr>
          <w:rFonts w:asciiTheme="majorBidi" w:hAnsiTheme="majorBidi" w:cstheme="majorBidi"/>
          <w:color w:val="000000" w:themeColor="text1"/>
          <w:sz w:val="20"/>
          <w:szCs w:val="20"/>
        </w:rPr>
        <w:t xml:space="preserve"> &amp; </w:t>
      </w:r>
      <w:r w:rsidRPr="00D4643C">
        <w:rPr>
          <w:rFonts w:asciiTheme="majorBidi" w:hAnsiTheme="majorBidi" w:cstheme="majorBidi"/>
          <w:color w:val="000000" w:themeColor="text1"/>
          <w:sz w:val="20"/>
          <w:szCs w:val="20"/>
          <w:lang w:bidi="ar-SA"/>
        </w:rPr>
        <w:t xml:space="preserve">S. </w:t>
      </w:r>
      <w:r w:rsidRPr="00D4643C">
        <w:rPr>
          <w:rFonts w:asciiTheme="majorBidi" w:hAnsiTheme="majorBidi" w:cstheme="majorBidi"/>
          <w:color w:val="000000" w:themeColor="text1"/>
          <w:sz w:val="20"/>
          <w:szCs w:val="20"/>
        </w:rPr>
        <w:t>Abu-</w:t>
      </w:r>
      <w:proofErr w:type="spellStart"/>
      <w:r w:rsidRPr="00D4643C">
        <w:rPr>
          <w:rFonts w:asciiTheme="majorBidi" w:hAnsiTheme="majorBidi" w:cstheme="majorBidi"/>
          <w:color w:val="000000" w:themeColor="text1"/>
          <w:sz w:val="20"/>
          <w:szCs w:val="20"/>
        </w:rPr>
        <w:t>Eisheh</w:t>
      </w:r>
      <w:proofErr w:type="spellEnd"/>
      <w:r w:rsidRPr="00D4643C">
        <w:rPr>
          <w:rFonts w:asciiTheme="majorBidi" w:hAnsiTheme="majorBidi" w:cstheme="majorBidi"/>
          <w:color w:val="000000" w:themeColor="text1"/>
          <w:sz w:val="20"/>
          <w:szCs w:val="20"/>
          <w:lang w:bidi="ar-SA"/>
        </w:rPr>
        <w:t xml:space="preserve">, </w:t>
      </w:r>
      <w:r w:rsidRPr="00D4643C">
        <w:rPr>
          <w:rFonts w:asciiTheme="majorBidi" w:hAnsiTheme="majorBidi" w:cstheme="majorBidi"/>
          <w:color w:val="000000" w:themeColor="text1"/>
          <w:sz w:val="20"/>
          <w:szCs w:val="20"/>
        </w:rPr>
        <w:t>“Diagnosis of Existing Transportation Systems in Palestine under the Current Political Conditions”, proceedings of the International Civil Engineering In</w:t>
      </w:r>
      <w:r>
        <w:rPr>
          <w:rFonts w:asciiTheme="majorBidi" w:hAnsiTheme="majorBidi" w:cstheme="majorBidi"/>
          <w:color w:val="000000" w:themeColor="text1"/>
          <w:sz w:val="20"/>
          <w:szCs w:val="20"/>
        </w:rPr>
        <w:t>frastructure Systems, 12-16 Jun.</w:t>
      </w:r>
      <w:r w:rsidRPr="00D4643C">
        <w:rPr>
          <w:rFonts w:asciiTheme="majorBidi" w:hAnsiTheme="majorBidi" w:cstheme="majorBidi"/>
          <w:color w:val="000000" w:themeColor="text1"/>
          <w:sz w:val="20"/>
          <w:szCs w:val="20"/>
        </w:rPr>
        <w:t xml:space="preserve"> 2006, Beirut, Lebanon, available at:  http://staff.najah.edu (visited 21 Aug. 2015), 6.</w:t>
      </w:r>
    </w:p>
  </w:footnote>
  <w:footnote w:id="95">
    <w:p w:rsidR="00A7663B" w:rsidRPr="00D4643C" w:rsidRDefault="00A7663B" w:rsidP="00D4643C">
      <w:pPr>
        <w:pStyle w:val="FootnoteText"/>
        <w:jc w:val="both"/>
        <w:rPr>
          <w:rFonts w:asciiTheme="majorBid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HaMoked</w:t>
      </w:r>
      <w:proofErr w:type="spellEnd"/>
      <w:r w:rsidRPr="00D4643C">
        <w:rPr>
          <w:rFonts w:asciiTheme="majorBidi" w:hAnsiTheme="majorBidi" w:cstheme="majorBidi"/>
          <w:color w:val="000000" w:themeColor="text1"/>
          <w:szCs w:val="20"/>
        </w:rPr>
        <w:t xml:space="preserve"> and </w:t>
      </w:r>
      <w:proofErr w:type="spellStart"/>
      <w:r w:rsidRPr="00D4643C">
        <w:rPr>
          <w:rFonts w:asciiTheme="majorBidi" w:hAnsiTheme="majorBidi" w:cstheme="majorBidi"/>
          <w:color w:val="000000" w:themeColor="text1"/>
          <w:szCs w:val="20"/>
        </w:rPr>
        <w:t>B’Tselem</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So Near and Yet So Far: Implications of Israeli-Imposed Seclusion of Gaza Strip on Palestinians’ Right to Family Life</w:t>
      </w:r>
      <w:r w:rsidRPr="00D4643C">
        <w:rPr>
          <w:rFonts w:asciiTheme="majorBidi" w:hAnsiTheme="majorBidi" w:cstheme="majorBidi"/>
          <w:color w:val="000000" w:themeColor="text1"/>
          <w:szCs w:val="20"/>
        </w:rPr>
        <w:t>, 2014, 31.</w:t>
      </w:r>
    </w:p>
  </w:footnote>
  <w:footnote w:id="96">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M.S. </w:t>
      </w:r>
      <w:proofErr w:type="spellStart"/>
      <w:r w:rsidRPr="00D4643C">
        <w:rPr>
          <w:rFonts w:asciiTheme="majorBidi" w:hAnsiTheme="majorBidi" w:cstheme="majorBidi"/>
          <w:color w:val="000000" w:themeColor="text1"/>
          <w:szCs w:val="20"/>
        </w:rPr>
        <w:t>Salamah</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Freedom of Movement as Basic Human Right</w:t>
      </w:r>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Hurryyat</w:t>
      </w:r>
      <w:proofErr w:type="spellEnd"/>
      <w:r w:rsidRPr="00D4643C">
        <w:rPr>
          <w:rFonts w:asciiTheme="majorBidi" w:hAnsiTheme="majorBidi" w:cstheme="majorBidi"/>
          <w:color w:val="000000" w:themeColor="text1"/>
          <w:szCs w:val="20"/>
        </w:rPr>
        <w:t>, Ramallah, 2015.</w:t>
      </w:r>
    </w:p>
  </w:footnote>
  <w:footnote w:id="9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Euromid</w:t>
      </w:r>
      <w:proofErr w:type="spellEnd"/>
      <w:r w:rsidRPr="00D4643C">
        <w:rPr>
          <w:rFonts w:asciiTheme="majorBidi" w:hAnsiTheme="majorBidi" w:cstheme="majorBidi"/>
          <w:color w:val="000000" w:themeColor="text1"/>
          <w:szCs w:val="20"/>
        </w:rPr>
        <w:t xml:space="preserve"> Observer</w:t>
      </w:r>
      <w:r w:rsidRPr="00D4643C">
        <w:rPr>
          <w:rFonts w:asciiTheme="majorBidi" w:hAnsiTheme="majorBidi" w:cstheme="majorBidi"/>
          <w:color w:val="000000" w:themeColor="text1"/>
          <w:szCs w:val="20"/>
          <w:shd w:val="clear" w:color="auto" w:fill="FFFFFF"/>
        </w:rPr>
        <w:t xml:space="preserve"> for Human Rights</w:t>
      </w:r>
      <w:r w:rsidRPr="00D4643C">
        <w:rPr>
          <w:rFonts w:asciiTheme="majorBidi" w:hAnsiTheme="majorBidi" w:cstheme="majorBidi"/>
          <w:color w:val="000000" w:themeColor="text1"/>
          <w:szCs w:val="20"/>
        </w:rPr>
        <w:t xml:space="preserve">, </w:t>
      </w:r>
      <w:r w:rsidRPr="003F4543">
        <w:rPr>
          <w:rFonts w:asciiTheme="majorBidi" w:hAnsiTheme="majorBidi" w:cstheme="majorBidi"/>
          <w:i/>
          <w:iCs/>
          <w:color w:val="000000" w:themeColor="text1"/>
          <w:szCs w:val="20"/>
        </w:rPr>
        <w:t>Restricted Hopes: On the Breach of West Bank Palestinians’ Right to Travel by Israeli Authorities</w:t>
      </w:r>
      <w:r w:rsidRPr="00D4643C">
        <w:rPr>
          <w:rFonts w:asciiTheme="majorBidi" w:hAnsiTheme="majorBidi" w:cstheme="majorBidi"/>
          <w:color w:val="000000" w:themeColor="text1"/>
          <w:szCs w:val="20"/>
        </w:rPr>
        <w:t>, Geneva, 2011, 10-13.</w:t>
      </w:r>
    </w:p>
  </w:footnote>
  <w:footnote w:id="9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Palestinian Independent Commission for Citizen’s Rights, </w:t>
      </w:r>
      <w:r w:rsidRPr="00D4643C">
        <w:rPr>
          <w:rFonts w:asciiTheme="majorBidi" w:hAnsiTheme="majorBidi" w:cstheme="majorBidi"/>
          <w:i/>
          <w:iCs/>
          <w:color w:val="000000" w:themeColor="text1"/>
          <w:szCs w:val="20"/>
        </w:rPr>
        <w:t>The Suffering of Palestinians At Al-</w:t>
      </w:r>
      <w:proofErr w:type="spellStart"/>
      <w:r w:rsidRPr="00D4643C">
        <w:rPr>
          <w:rFonts w:asciiTheme="majorBidi" w:hAnsiTheme="majorBidi" w:cstheme="majorBidi"/>
          <w:i/>
          <w:iCs/>
          <w:color w:val="000000" w:themeColor="text1"/>
          <w:szCs w:val="20"/>
        </w:rPr>
        <w:t>Karama</w:t>
      </w:r>
      <w:proofErr w:type="spellEnd"/>
      <w:r w:rsidRPr="00D4643C">
        <w:rPr>
          <w:rFonts w:asciiTheme="majorBidi" w:hAnsiTheme="majorBidi" w:cstheme="majorBidi"/>
          <w:i/>
          <w:iCs/>
          <w:color w:val="000000" w:themeColor="text1"/>
          <w:szCs w:val="20"/>
        </w:rPr>
        <w:t xml:space="preserve"> and </w:t>
      </w:r>
      <w:proofErr w:type="spellStart"/>
      <w:r w:rsidRPr="00D4643C">
        <w:rPr>
          <w:rFonts w:asciiTheme="majorBidi" w:hAnsiTheme="majorBidi" w:cstheme="majorBidi"/>
          <w:i/>
          <w:iCs/>
          <w:color w:val="000000" w:themeColor="text1"/>
          <w:szCs w:val="20"/>
        </w:rPr>
        <w:t>Rafah</w:t>
      </w:r>
      <w:proofErr w:type="spellEnd"/>
      <w:r w:rsidRPr="00D4643C">
        <w:rPr>
          <w:rFonts w:asciiTheme="majorBidi" w:hAnsiTheme="majorBidi" w:cstheme="majorBidi"/>
          <w:i/>
          <w:iCs/>
          <w:color w:val="000000" w:themeColor="text1"/>
          <w:szCs w:val="20"/>
        </w:rPr>
        <w:t xml:space="preserve"> Crossing Stations</w:t>
      </w:r>
      <w:r w:rsidRPr="00D4643C">
        <w:rPr>
          <w:rFonts w:asciiTheme="majorBidi" w:hAnsiTheme="majorBidi" w:cstheme="majorBidi"/>
          <w:color w:val="000000" w:themeColor="text1"/>
          <w:szCs w:val="20"/>
        </w:rPr>
        <w:t>, Ramallah, Oct. 2002, available at  http://www.ichr.ps (last visited 21 Aug. 2015).</w:t>
      </w:r>
    </w:p>
  </w:footnote>
  <w:footnote w:id="99">
    <w:p w:rsidR="00A7663B" w:rsidRPr="00D4643C" w:rsidRDefault="00A7663B" w:rsidP="00D4643C">
      <w:pPr>
        <w:pStyle w:val="NormalWeb"/>
        <w:spacing w:before="0" w:beforeAutospacing="0" w:after="0" w:afterAutospacing="0"/>
        <w:jc w:val="both"/>
        <w:rPr>
          <w:rFonts w:asciiTheme="majorBidi" w:hAnsiTheme="majorBidi" w:cstheme="majorBidi"/>
          <w:color w:val="000000" w:themeColor="text1"/>
          <w:sz w:val="20"/>
          <w:szCs w:val="20"/>
          <w:lang w:bidi="ar-SA"/>
        </w:rPr>
      </w:pPr>
      <w:r w:rsidRPr="00D4643C">
        <w:rPr>
          <w:rStyle w:val="FootnoteReference"/>
          <w:rFonts w:asciiTheme="majorBidi" w:hAnsiTheme="majorBidi" w:cstheme="majorBidi"/>
          <w:color w:val="000000" w:themeColor="text1"/>
          <w:sz w:val="20"/>
          <w:szCs w:val="20"/>
        </w:rPr>
        <w:footnoteRef/>
      </w:r>
      <w:r w:rsidRPr="00D4643C">
        <w:rPr>
          <w:rFonts w:asciiTheme="majorBidi" w:hAnsiTheme="majorBidi" w:cstheme="majorBidi"/>
          <w:color w:val="000000" w:themeColor="text1"/>
          <w:sz w:val="20"/>
          <w:szCs w:val="20"/>
        </w:rPr>
        <w:t xml:space="preserve"> </w:t>
      </w:r>
      <w:r w:rsidRPr="00D4643C">
        <w:rPr>
          <w:rFonts w:asciiTheme="majorBidi" w:hAnsiTheme="majorBidi" w:cstheme="majorBidi"/>
          <w:color w:val="000000" w:themeColor="text1"/>
          <w:sz w:val="20"/>
          <w:szCs w:val="20"/>
          <w:lang w:bidi="ar-SA"/>
        </w:rPr>
        <w:t xml:space="preserve">M. </w:t>
      </w:r>
      <w:proofErr w:type="spellStart"/>
      <w:r w:rsidRPr="00D4643C">
        <w:rPr>
          <w:rFonts w:asciiTheme="majorBidi" w:hAnsiTheme="majorBidi" w:cstheme="majorBidi"/>
          <w:color w:val="000000" w:themeColor="text1"/>
          <w:sz w:val="20"/>
          <w:szCs w:val="20"/>
          <w:lang w:bidi="ar-SA"/>
        </w:rPr>
        <w:t>Qafisheh</w:t>
      </w:r>
      <w:proofErr w:type="spellEnd"/>
      <w:r w:rsidRPr="00D4643C">
        <w:rPr>
          <w:rFonts w:asciiTheme="majorBidi" w:hAnsiTheme="majorBidi" w:cstheme="majorBidi"/>
          <w:color w:val="000000" w:themeColor="text1"/>
          <w:sz w:val="20"/>
          <w:szCs w:val="20"/>
          <w:lang w:bidi="ar-SA"/>
        </w:rPr>
        <w:t xml:space="preserve">, </w:t>
      </w:r>
      <w:r w:rsidRPr="00D4643C">
        <w:rPr>
          <w:rFonts w:asciiTheme="majorBidi" w:hAnsiTheme="majorBidi" w:cstheme="majorBidi"/>
          <w:color w:val="000000" w:themeColor="text1"/>
          <w:sz w:val="20"/>
          <w:szCs w:val="20"/>
        </w:rPr>
        <w:t>“</w:t>
      </w:r>
      <w:r w:rsidRPr="00D4643C">
        <w:rPr>
          <w:rFonts w:asciiTheme="majorBidi" w:hAnsiTheme="majorBidi" w:cstheme="majorBidi"/>
          <w:color w:val="000000" w:themeColor="text1"/>
          <w:sz w:val="20"/>
          <w:szCs w:val="20"/>
          <w:lang w:bidi="ar-SA"/>
        </w:rPr>
        <w:t>Palestinian Legislation and the Freedom of Movement: An Appraisal in Light of International Law</w:t>
      </w:r>
      <w:r w:rsidRPr="00D4643C">
        <w:rPr>
          <w:rFonts w:asciiTheme="majorBidi" w:hAnsiTheme="majorBidi" w:cstheme="majorBidi"/>
          <w:color w:val="000000" w:themeColor="text1"/>
          <w:sz w:val="20"/>
          <w:szCs w:val="20"/>
        </w:rPr>
        <w:t>”</w:t>
      </w:r>
      <w:r w:rsidRPr="00D4643C">
        <w:rPr>
          <w:rFonts w:asciiTheme="majorBidi" w:hAnsiTheme="majorBidi" w:cstheme="majorBidi"/>
          <w:color w:val="000000" w:themeColor="text1"/>
          <w:sz w:val="20"/>
          <w:szCs w:val="20"/>
          <w:lang w:bidi="ar-SA"/>
        </w:rPr>
        <w:t xml:space="preserve">, </w:t>
      </w:r>
      <w:r w:rsidRPr="00D4643C">
        <w:rPr>
          <w:rFonts w:asciiTheme="majorBidi" w:hAnsiTheme="majorBidi" w:cstheme="majorBidi"/>
          <w:i/>
          <w:iCs/>
          <w:color w:val="000000" w:themeColor="text1"/>
          <w:sz w:val="20"/>
          <w:szCs w:val="20"/>
          <w:lang w:bidi="ar-SA"/>
        </w:rPr>
        <w:t>International Journal of Human Rights and Constitutional Studies</w:t>
      </w:r>
      <w:r w:rsidRPr="00D4643C">
        <w:rPr>
          <w:rFonts w:asciiTheme="majorBidi" w:hAnsiTheme="majorBidi" w:cstheme="majorBidi"/>
          <w:color w:val="000000" w:themeColor="text1"/>
          <w:sz w:val="20"/>
          <w:szCs w:val="20"/>
          <w:lang w:bidi="ar-SA"/>
        </w:rPr>
        <w:t xml:space="preserve"> 1(2), 2013, 110-126.</w:t>
      </w:r>
    </w:p>
  </w:footnote>
  <w:footnote w:id="100">
    <w:p w:rsidR="00A7663B" w:rsidRPr="00D4643C" w:rsidRDefault="00A7663B" w:rsidP="003F4543">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M. </w:t>
      </w:r>
      <w:proofErr w:type="spellStart"/>
      <w:r w:rsidRPr="00D4643C">
        <w:rPr>
          <w:rFonts w:asciiTheme="majorBidi" w:hAnsiTheme="majorBidi" w:cstheme="majorBidi"/>
          <w:color w:val="000000" w:themeColor="text1"/>
          <w:szCs w:val="20"/>
        </w:rPr>
        <w:t>Qafisheh</w:t>
      </w:r>
      <w:proofErr w:type="spellEnd"/>
      <w:r w:rsidRPr="00D4643C">
        <w:rPr>
          <w:rFonts w:asciiTheme="majorBidi" w:hAnsiTheme="majorBidi" w:cstheme="majorBidi"/>
          <w:color w:val="000000" w:themeColor="text1"/>
          <w:szCs w:val="20"/>
        </w:rPr>
        <w:t xml:space="preserve">, “La </w:t>
      </w:r>
      <w:proofErr w:type="spellStart"/>
      <w:r w:rsidRPr="00D4643C">
        <w:rPr>
          <w:rFonts w:asciiTheme="majorBidi" w:hAnsiTheme="majorBidi" w:cstheme="majorBidi"/>
          <w:color w:val="000000" w:themeColor="text1"/>
          <w:szCs w:val="20"/>
        </w:rPr>
        <w:t>nationalite</w:t>
      </w:r>
      <w:proofErr w:type="spellEnd"/>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palestinienne</w:t>
      </w:r>
      <w:proofErr w:type="spellEnd"/>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selon</w:t>
      </w:r>
      <w:proofErr w:type="spellEnd"/>
      <w:r w:rsidRPr="00D4643C">
        <w:rPr>
          <w:rFonts w:asciiTheme="majorBidi" w:hAnsiTheme="majorBidi" w:cstheme="majorBidi"/>
          <w:color w:val="000000" w:themeColor="text1"/>
          <w:szCs w:val="20"/>
        </w:rPr>
        <w:t xml:space="preserve"> les </w:t>
      </w:r>
      <w:proofErr w:type="spellStart"/>
      <w:r w:rsidRPr="00D4643C">
        <w:rPr>
          <w:rFonts w:asciiTheme="majorBidi" w:hAnsiTheme="majorBidi" w:cstheme="majorBidi"/>
          <w:color w:val="000000" w:themeColor="text1"/>
          <w:szCs w:val="20"/>
        </w:rPr>
        <w:t>principes</w:t>
      </w:r>
      <w:proofErr w:type="spellEnd"/>
      <w:r w:rsidRPr="00D4643C">
        <w:rPr>
          <w:rFonts w:asciiTheme="majorBidi" w:hAnsiTheme="majorBidi" w:cstheme="majorBidi"/>
          <w:color w:val="000000" w:themeColor="text1"/>
          <w:szCs w:val="20"/>
        </w:rPr>
        <w:t xml:space="preserve"> du </w:t>
      </w:r>
      <w:proofErr w:type="spellStart"/>
      <w:r w:rsidRPr="00D4643C">
        <w:rPr>
          <w:rFonts w:asciiTheme="majorBidi" w:hAnsiTheme="majorBidi" w:cstheme="majorBidi"/>
          <w:color w:val="000000" w:themeColor="text1"/>
          <w:szCs w:val="20"/>
        </w:rPr>
        <w:t>droit</w:t>
      </w:r>
      <w:proofErr w:type="spellEnd"/>
      <w:r w:rsidRPr="00D4643C">
        <w:rPr>
          <w:rFonts w:asciiTheme="majorBidi" w:hAnsiTheme="majorBidi" w:cstheme="majorBidi"/>
          <w:color w:val="000000" w:themeColor="text1"/>
          <w:szCs w:val="20"/>
        </w:rPr>
        <w:t xml:space="preserve"> local et du </w:t>
      </w:r>
      <w:proofErr w:type="spellStart"/>
      <w:r w:rsidRPr="00D4643C">
        <w:rPr>
          <w:rFonts w:asciiTheme="majorBidi" w:hAnsiTheme="majorBidi" w:cstheme="majorBidi"/>
          <w:color w:val="000000" w:themeColor="text1"/>
          <w:szCs w:val="20"/>
        </w:rPr>
        <w:t>droit</w:t>
      </w:r>
      <w:proofErr w:type="spellEnd"/>
      <w:r w:rsidRPr="00D4643C">
        <w:rPr>
          <w:rFonts w:asciiTheme="majorBidi" w:hAnsiTheme="majorBidi" w:cstheme="majorBidi"/>
          <w:color w:val="000000" w:themeColor="text1"/>
          <w:szCs w:val="20"/>
        </w:rPr>
        <w:t xml:space="preserve"> international”, in N. </w:t>
      </w:r>
      <w:proofErr w:type="spellStart"/>
      <w:r w:rsidRPr="00D4643C">
        <w:rPr>
          <w:rFonts w:asciiTheme="majorBidi" w:hAnsiTheme="majorBidi" w:cstheme="majorBidi"/>
          <w:color w:val="000000" w:themeColor="text1"/>
          <w:szCs w:val="20"/>
        </w:rPr>
        <w:t>Picaudou</w:t>
      </w:r>
      <w:proofErr w:type="spellEnd"/>
      <w:r w:rsidRPr="00D4643C">
        <w:rPr>
          <w:rFonts w:asciiTheme="majorBidi" w:hAnsiTheme="majorBidi" w:cstheme="majorBidi"/>
          <w:color w:val="000000" w:themeColor="text1"/>
          <w:szCs w:val="20"/>
        </w:rPr>
        <w:t xml:space="preserve"> (ed.), </w:t>
      </w:r>
      <w:r w:rsidRPr="00D4643C">
        <w:rPr>
          <w:rFonts w:asciiTheme="majorBidi" w:hAnsiTheme="majorBidi" w:cstheme="majorBidi"/>
          <w:i/>
          <w:iCs/>
          <w:color w:val="000000" w:themeColor="text1"/>
          <w:szCs w:val="20"/>
        </w:rPr>
        <w:t xml:space="preserve">La Palestine en transition: </w:t>
      </w:r>
      <w:proofErr w:type="spellStart"/>
      <w:r w:rsidRPr="00D4643C">
        <w:rPr>
          <w:rFonts w:asciiTheme="majorBidi" w:hAnsiTheme="majorBidi" w:cstheme="majorBidi"/>
          <w:i/>
          <w:iCs/>
          <w:color w:val="000000" w:themeColor="text1"/>
          <w:szCs w:val="20"/>
        </w:rPr>
        <w:t>crise</w:t>
      </w:r>
      <w:proofErr w:type="spellEnd"/>
      <w:r w:rsidRPr="00D4643C">
        <w:rPr>
          <w:rFonts w:asciiTheme="majorBidi" w:hAnsiTheme="majorBidi" w:cstheme="majorBidi"/>
          <w:i/>
          <w:iCs/>
          <w:color w:val="000000" w:themeColor="text1"/>
          <w:szCs w:val="20"/>
        </w:rPr>
        <w:t xml:space="preserve"> du </w:t>
      </w:r>
      <w:proofErr w:type="spellStart"/>
      <w:r w:rsidRPr="00D4643C">
        <w:rPr>
          <w:rFonts w:asciiTheme="majorBidi" w:hAnsiTheme="majorBidi" w:cstheme="majorBidi"/>
          <w:i/>
          <w:iCs/>
          <w:color w:val="000000" w:themeColor="text1"/>
          <w:szCs w:val="20"/>
        </w:rPr>
        <w:t>projet</w:t>
      </w:r>
      <w:proofErr w:type="spellEnd"/>
      <w:r w:rsidRPr="00D4643C">
        <w:rPr>
          <w:rFonts w:asciiTheme="majorBidi" w:hAnsiTheme="majorBidi" w:cstheme="majorBidi"/>
          <w:i/>
          <w:iCs/>
          <w:color w:val="000000" w:themeColor="text1"/>
          <w:szCs w:val="20"/>
        </w:rPr>
        <w:t xml:space="preserve"> national et construction de </w:t>
      </w:r>
      <w:proofErr w:type="spellStart"/>
      <w:r w:rsidRPr="00D4643C">
        <w:rPr>
          <w:rFonts w:asciiTheme="majorBidi" w:hAnsiTheme="majorBidi" w:cstheme="majorBidi"/>
          <w:i/>
          <w:iCs/>
          <w:color w:val="000000" w:themeColor="text1"/>
          <w:szCs w:val="20"/>
        </w:rPr>
        <w:t>l’Etat</w:t>
      </w:r>
      <w:proofErr w:type="spellEnd"/>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Paris, National I</w:t>
      </w:r>
      <w:r w:rsidRPr="00D4643C">
        <w:rPr>
          <w:rFonts w:asciiTheme="majorBidi" w:hAnsiTheme="majorBidi" w:cstheme="majorBidi"/>
          <w:color w:val="000000" w:themeColor="text1"/>
          <w:szCs w:val="20"/>
        </w:rPr>
        <w:t>nstitut</w:t>
      </w:r>
      <w:r>
        <w:rPr>
          <w:rFonts w:asciiTheme="majorBidi" w:hAnsiTheme="majorBidi" w:cstheme="majorBidi"/>
          <w:color w:val="000000" w:themeColor="text1"/>
          <w:szCs w:val="20"/>
        </w:rPr>
        <w:t>e for Oriental Languages and Civilizations</w:t>
      </w:r>
      <w:r w:rsidRPr="00D4643C">
        <w:rPr>
          <w:rFonts w:asciiTheme="majorBidi" w:hAnsiTheme="majorBidi" w:cstheme="majorBidi"/>
          <w:color w:val="000000" w:themeColor="text1"/>
          <w:szCs w:val="20"/>
        </w:rPr>
        <w:t>, 2001, 39-77.</w:t>
      </w:r>
    </w:p>
  </w:footnote>
  <w:footnote w:id="101">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Oslo I, Annex II, </w:t>
      </w:r>
      <w:r>
        <w:rPr>
          <w:rFonts w:asciiTheme="majorBidi" w:hAnsiTheme="majorBidi" w:cstheme="majorBidi"/>
          <w:color w:val="000000" w:themeColor="text1"/>
          <w:szCs w:val="20"/>
        </w:rPr>
        <w:t>Art.</w:t>
      </w:r>
      <w:r w:rsidRPr="00D4643C">
        <w:rPr>
          <w:rFonts w:asciiTheme="majorBidi" w:hAnsiTheme="majorBidi" w:cstheme="majorBidi"/>
          <w:color w:val="000000" w:themeColor="text1"/>
          <w:szCs w:val="20"/>
        </w:rPr>
        <w:t xml:space="preserve"> 3, </w:t>
      </w:r>
      <w:proofErr w:type="spellStart"/>
      <w:r w:rsidRPr="00D4643C">
        <w:rPr>
          <w:rFonts w:asciiTheme="majorBidi" w:hAnsiTheme="majorBidi" w:cstheme="majorBidi"/>
          <w:color w:val="000000" w:themeColor="text1"/>
          <w:szCs w:val="20"/>
        </w:rPr>
        <w:t>para</w:t>
      </w:r>
      <w:proofErr w:type="spellEnd"/>
      <w:r w:rsidRPr="00D4643C">
        <w:rPr>
          <w:rFonts w:asciiTheme="majorBidi" w:hAnsiTheme="majorBidi" w:cstheme="majorBidi"/>
          <w:color w:val="000000" w:themeColor="text1"/>
          <w:szCs w:val="20"/>
        </w:rPr>
        <w:t>. c.</w:t>
      </w:r>
    </w:p>
  </w:footnote>
  <w:footnote w:id="10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The four c</w:t>
      </w:r>
      <w:r>
        <w:rPr>
          <w:rFonts w:asciiTheme="majorBidi" w:hAnsiTheme="majorBidi" w:cstheme="majorBidi"/>
          <w:color w:val="000000" w:themeColor="text1"/>
          <w:szCs w:val="20"/>
        </w:rPr>
        <w:t>ategories are covered by Art.</w:t>
      </w:r>
      <w:r w:rsidRPr="00D4643C">
        <w:rPr>
          <w:rFonts w:asciiTheme="majorBidi" w:hAnsiTheme="majorBidi" w:cstheme="majorBidi"/>
          <w:color w:val="000000" w:themeColor="text1"/>
          <w:szCs w:val="20"/>
        </w:rPr>
        <w:t xml:space="preserve"> 28 of Oslo II.</w:t>
      </w:r>
    </w:p>
  </w:footnote>
  <w:footnote w:id="103">
    <w:p w:rsidR="00A7663B" w:rsidRPr="00D4643C" w:rsidRDefault="00A7663B" w:rsidP="00D4643C">
      <w:pPr>
        <w:bidi w:val="0"/>
        <w:jc w:val="both"/>
        <w:rPr>
          <w:rFonts w:asciiTheme="majorBidi" w:hAnsiTheme="majorBidi" w:cstheme="majorBidi"/>
          <w:color w:val="000000" w:themeColor="text1"/>
          <w:sz w:val="20"/>
          <w:szCs w:val="20"/>
          <w:rtl/>
          <w:lang w:bidi="ar-SA"/>
        </w:rPr>
      </w:pPr>
      <w:r w:rsidRPr="00D4643C">
        <w:rPr>
          <w:rStyle w:val="FootnoteReference"/>
          <w:rFonts w:asciiTheme="majorBidi" w:hAnsiTheme="majorBidi" w:cstheme="majorBidi"/>
          <w:color w:val="000000" w:themeColor="text1"/>
          <w:sz w:val="20"/>
          <w:szCs w:val="20"/>
        </w:rPr>
        <w:footnoteRef/>
      </w:r>
      <w:r w:rsidRPr="00D4643C">
        <w:rPr>
          <w:rFonts w:asciiTheme="majorBidi" w:hAnsiTheme="majorBidi" w:cstheme="majorBidi"/>
          <w:color w:val="000000" w:themeColor="text1"/>
          <w:sz w:val="20"/>
          <w:szCs w:val="20"/>
        </w:rPr>
        <w:t xml:space="preserve"> </w:t>
      </w:r>
      <w:proofErr w:type="spellStart"/>
      <w:r w:rsidRPr="00D4643C">
        <w:rPr>
          <w:rFonts w:asciiTheme="majorBidi" w:hAnsiTheme="majorBidi" w:cstheme="majorBidi"/>
          <w:color w:val="000000" w:themeColor="text1"/>
          <w:sz w:val="20"/>
          <w:szCs w:val="20"/>
        </w:rPr>
        <w:t>B’Tselem</w:t>
      </w:r>
      <w:proofErr w:type="spellEnd"/>
      <w:r w:rsidRPr="00D4643C">
        <w:rPr>
          <w:rFonts w:asciiTheme="majorBidi" w:hAnsiTheme="majorBidi" w:cstheme="majorBidi"/>
          <w:color w:val="000000" w:themeColor="text1"/>
          <w:sz w:val="20"/>
          <w:szCs w:val="20"/>
        </w:rPr>
        <w:t xml:space="preserve">, </w:t>
      </w:r>
      <w:r>
        <w:rPr>
          <w:rFonts w:asciiTheme="majorBidi" w:hAnsiTheme="majorBidi" w:cstheme="majorBidi"/>
          <w:i/>
          <w:iCs/>
          <w:color w:val="000000" w:themeColor="text1"/>
          <w:sz w:val="20"/>
          <w:szCs w:val="20"/>
        </w:rPr>
        <w:t>Perpetual Limbo: Israel</w:t>
      </w:r>
      <w:r w:rsidRPr="00D4643C">
        <w:rPr>
          <w:rFonts w:asciiTheme="majorBidi" w:hAnsiTheme="majorBidi" w:cstheme="majorBidi"/>
          <w:i/>
          <w:iCs/>
          <w:color w:val="000000" w:themeColor="text1"/>
          <w:szCs w:val="20"/>
        </w:rPr>
        <w:t>’</w:t>
      </w:r>
      <w:r w:rsidRPr="00D4643C">
        <w:rPr>
          <w:rFonts w:asciiTheme="majorBidi" w:hAnsiTheme="majorBidi" w:cstheme="majorBidi"/>
          <w:i/>
          <w:iCs/>
          <w:color w:val="000000" w:themeColor="text1"/>
          <w:sz w:val="20"/>
          <w:szCs w:val="20"/>
        </w:rPr>
        <w:t>s Freeze on Unification of Palestinian Families in the Occupied Territories</w:t>
      </w:r>
      <w:r w:rsidRPr="00D4643C">
        <w:rPr>
          <w:rFonts w:asciiTheme="majorBidi" w:hAnsiTheme="majorBidi" w:cstheme="majorBidi"/>
          <w:color w:val="000000" w:themeColor="text1"/>
          <w:sz w:val="20"/>
          <w:szCs w:val="20"/>
        </w:rPr>
        <w:t>, Jerusalem, 2006.</w:t>
      </w:r>
    </w:p>
  </w:footnote>
  <w:footnote w:id="104">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Oslo II, Annex II, Art.</w:t>
      </w:r>
      <w:r w:rsidRPr="00D4643C">
        <w:rPr>
          <w:rFonts w:asciiTheme="majorBidi" w:hAnsiTheme="majorBidi" w:cstheme="majorBidi"/>
          <w:color w:val="000000" w:themeColor="text1"/>
          <w:szCs w:val="20"/>
        </w:rPr>
        <w:t xml:space="preserve"> II, </w:t>
      </w:r>
      <w:proofErr w:type="spellStart"/>
      <w:r w:rsidRPr="00D4643C">
        <w:rPr>
          <w:rFonts w:asciiTheme="majorBidi" w:hAnsiTheme="majorBidi" w:cstheme="majorBidi"/>
          <w:color w:val="000000" w:themeColor="text1"/>
          <w:szCs w:val="20"/>
        </w:rPr>
        <w:t>para</w:t>
      </w:r>
      <w:proofErr w:type="spellEnd"/>
      <w:r w:rsidRPr="00D4643C">
        <w:rPr>
          <w:rFonts w:asciiTheme="majorBidi" w:hAnsiTheme="majorBidi" w:cstheme="majorBidi"/>
          <w:color w:val="000000" w:themeColor="text1"/>
          <w:szCs w:val="20"/>
        </w:rPr>
        <w:t>. 1(g).</w:t>
      </w:r>
    </w:p>
  </w:footnote>
  <w:footnote w:id="105">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Art.</w:t>
      </w:r>
      <w:r w:rsidRPr="00D4643C">
        <w:rPr>
          <w:rFonts w:asciiTheme="majorBidi" w:hAnsiTheme="majorBidi" w:cstheme="majorBidi"/>
          <w:color w:val="000000" w:themeColor="text1"/>
          <w:szCs w:val="20"/>
        </w:rPr>
        <w:t xml:space="preserve"> 28, Annex III.</w:t>
      </w:r>
    </w:p>
  </w:footnote>
  <w:footnote w:id="106">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Law No. 2 of 8 Jun. 1999 Concerning Civil Affairs, </w:t>
      </w:r>
      <w:r w:rsidRPr="00D4643C">
        <w:rPr>
          <w:rFonts w:asciiTheme="majorBidi" w:hAnsiTheme="majorBidi" w:cstheme="majorBidi"/>
          <w:i/>
          <w:iCs/>
          <w:color w:val="000000" w:themeColor="text1"/>
          <w:szCs w:val="20"/>
        </w:rPr>
        <w:t>Palestine Gazette</w:t>
      </w:r>
      <w:r w:rsidRPr="00D4643C">
        <w:rPr>
          <w:rFonts w:asciiTheme="majorBidi" w:hAnsiTheme="majorBidi" w:cstheme="majorBidi"/>
          <w:color w:val="000000" w:themeColor="text1"/>
          <w:szCs w:val="20"/>
        </w:rPr>
        <w:t xml:space="preserve">, No. 99, 17 Jul. 1999, 6. </w:t>
      </w:r>
    </w:p>
  </w:footnote>
  <w:footnote w:id="10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Art.</w:t>
      </w:r>
      <w:r w:rsidRPr="00D4643C">
        <w:rPr>
          <w:rFonts w:asciiTheme="majorBidi" w:hAnsiTheme="majorBidi" w:cstheme="majorBidi"/>
          <w:color w:val="000000" w:themeColor="text1"/>
          <w:szCs w:val="20"/>
        </w:rPr>
        <w:t xml:space="preserve"> 28, </w:t>
      </w:r>
      <w:proofErr w:type="spellStart"/>
      <w:r w:rsidRPr="00D4643C">
        <w:rPr>
          <w:rFonts w:asciiTheme="majorBidi" w:hAnsiTheme="majorBidi" w:cstheme="majorBidi"/>
          <w:color w:val="000000" w:themeColor="text1"/>
          <w:szCs w:val="20"/>
        </w:rPr>
        <w:t>para</w:t>
      </w:r>
      <w:proofErr w:type="spellEnd"/>
      <w:r w:rsidRPr="00D4643C">
        <w:rPr>
          <w:rFonts w:asciiTheme="majorBidi" w:hAnsiTheme="majorBidi" w:cstheme="majorBidi"/>
          <w:color w:val="000000" w:themeColor="text1"/>
          <w:szCs w:val="20"/>
        </w:rPr>
        <w:t xml:space="preserve">. 12. See above </w:t>
      </w:r>
      <w:r>
        <w:rPr>
          <w:rFonts w:asciiTheme="majorBidi" w:hAnsiTheme="majorBidi" w:cstheme="majorBidi"/>
          <w:color w:val="000000" w:themeColor="text1"/>
          <w:szCs w:val="20"/>
        </w:rPr>
        <w:t>footnote 38.</w:t>
      </w:r>
    </w:p>
  </w:footnote>
  <w:footnote w:id="108">
    <w:p w:rsidR="00A7663B" w:rsidRPr="00D4643C" w:rsidRDefault="00A7663B" w:rsidP="00DA35E8">
      <w:pPr>
        <w:pStyle w:val="FootnoteText"/>
        <w:jc w:val="both"/>
        <w:rPr>
          <w:rFonts w:asciiTheme="majorBid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G.D. Collins, “Citizenship by Birth”, </w:t>
      </w:r>
      <w:r w:rsidRPr="00D4643C">
        <w:rPr>
          <w:rFonts w:asciiTheme="majorBidi" w:hAnsiTheme="majorBidi" w:cstheme="majorBidi"/>
          <w:i/>
          <w:iCs/>
          <w:color w:val="000000" w:themeColor="text1"/>
          <w:szCs w:val="20"/>
        </w:rPr>
        <w:t>American Law Review</w:t>
      </w:r>
      <w:r>
        <w:rPr>
          <w:rFonts w:asciiTheme="majorBidi" w:hAnsiTheme="majorBidi" w:cstheme="majorBidi"/>
          <w:color w:val="000000" w:themeColor="text1"/>
          <w:szCs w:val="20"/>
        </w:rPr>
        <w:t xml:space="preserve"> 29, 1895, 385-394;</w:t>
      </w:r>
      <w:r w:rsidRPr="00D4643C">
        <w:rPr>
          <w:rFonts w:asciiTheme="majorBidi" w:hAnsiTheme="majorBidi" w:cstheme="majorBidi"/>
          <w:color w:val="000000" w:themeColor="text1"/>
          <w:szCs w:val="20"/>
        </w:rPr>
        <w:t xml:space="preserve"> J.B. Scott, “Nationality: Jus Soli or Jus </w:t>
      </w:r>
      <w:proofErr w:type="spellStart"/>
      <w:r w:rsidRPr="00D4643C">
        <w:rPr>
          <w:rFonts w:asciiTheme="majorBidi" w:hAnsiTheme="majorBidi" w:cstheme="majorBidi"/>
          <w:color w:val="000000" w:themeColor="text1"/>
          <w:szCs w:val="20"/>
        </w:rPr>
        <w:t>Sanguinis</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American Journal of International Law</w:t>
      </w:r>
      <w:r w:rsidRPr="00D4643C">
        <w:rPr>
          <w:rFonts w:asciiTheme="majorBidi" w:hAnsiTheme="majorBidi" w:cstheme="majorBidi"/>
          <w:color w:val="000000" w:themeColor="text1"/>
          <w:szCs w:val="20"/>
        </w:rPr>
        <w:t xml:space="preserve"> 24(1), 1930, 58-64; D.V. </w:t>
      </w:r>
      <w:proofErr w:type="spellStart"/>
      <w:r w:rsidRPr="00D4643C">
        <w:rPr>
          <w:rFonts w:asciiTheme="majorBidi" w:hAnsiTheme="majorBidi" w:cstheme="majorBidi"/>
          <w:color w:val="000000" w:themeColor="text1"/>
          <w:szCs w:val="20"/>
        </w:rPr>
        <w:t>Sandifer</w:t>
      </w:r>
      <w:proofErr w:type="spellEnd"/>
      <w:r w:rsidRPr="00D4643C">
        <w:rPr>
          <w:rFonts w:asciiTheme="majorBidi" w:hAnsiTheme="majorBidi" w:cstheme="majorBidi"/>
          <w:color w:val="000000" w:themeColor="text1"/>
          <w:szCs w:val="20"/>
        </w:rPr>
        <w:t xml:space="preserve">, “A Comparative Study of Laws Relating to Nationality at Birth and to Loss of Nationality”, </w:t>
      </w:r>
      <w:r w:rsidRPr="00D4643C">
        <w:rPr>
          <w:rFonts w:asciiTheme="majorBidi" w:hAnsiTheme="majorBidi" w:cstheme="majorBidi"/>
          <w:i/>
          <w:iCs/>
          <w:color w:val="000000" w:themeColor="text1"/>
          <w:szCs w:val="20"/>
        </w:rPr>
        <w:t>American Journal of International Law</w:t>
      </w:r>
      <w:r w:rsidRPr="00D4643C">
        <w:rPr>
          <w:rFonts w:asciiTheme="majorBidi" w:hAnsiTheme="majorBidi" w:cstheme="majorBidi"/>
          <w:color w:val="000000" w:themeColor="text1"/>
          <w:szCs w:val="20"/>
        </w:rPr>
        <w:t xml:space="preserve"> 29(2), 1935, 249-261; I. </w:t>
      </w:r>
      <w:proofErr w:type="spellStart"/>
      <w:r w:rsidRPr="00D4643C">
        <w:rPr>
          <w:rFonts w:asciiTheme="majorBidi" w:hAnsiTheme="majorBidi" w:cstheme="majorBidi"/>
          <w:color w:val="000000" w:themeColor="text1"/>
          <w:szCs w:val="20"/>
        </w:rPr>
        <w:t>Brownlie</w:t>
      </w:r>
      <w:proofErr w:type="spellEnd"/>
      <w:r w:rsidRPr="00D4643C">
        <w:rPr>
          <w:rFonts w:asciiTheme="majorBidi" w:hAnsiTheme="majorBidi" w:cstheme="majorBidi"/>
          <w:color w:val="000000" w:themeColor="text1"/>
          <w:szCs w:val="20"/>
        </w:rPr>
        <w:t xml:space="preserve">, “The Relations of Nationality in Public International Law”, </w:t>
      </w:r>
      <w:r w:rsidRPr="00D4643C">
        <w:rPr>
          <w:rFonts w:asciiTheme="majorBidi" w:hAnsiTheme="majorBidi" w:cstheme="majorBidi"/>
          <w:i/>
          <w:iCs/>
          <w:color w:val="000000" w:themeColor="text1"/>
          <w:szCs w:val="20"/>
        </w:rPr>
        <w:t>British Year Book of International Law</w:t>
      </w:r>
      <w:r>
        <w:rPr>
          <w:rFonts w:asciiTheme="majorBidi" w:hAnsiTheme="majorBidi" w:cstheme="majorBidi"/>
          <w:color w:val="000000" w:themeColor="text1"/>
          <w:szCs w:val="20"/>
        </w:rPr>
        <w:t>, 1963, 284-364,</w:t>
      </w:r>
      <w:r w:rsidRPr="00DA35E8">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 xml:space="preserve">at </w:t>
      </w:r>
      <w:r w:rsidRPr="00D4643C">
        <w:rPr>
          <w:rFonts w:asciiTheme="majorBidi" w:hAnsiTheme="majorBidi" w:cstheme="majorBidi"/>
          <w:color w:val="000000" w:themeColor="text1"/>
          <w:szCs w:val="20"/>
        </w:rPr>
        <w:t>302-306</w:t>
      </w:r>
    </w:p>
  </w:footnote>
  <w:footnote w:id="109">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Art.</w:t>
      </w:r>
      <w:r w:rsidRPr="00D4643C">
        <w:rPr>
          <w:rFonts w:asciiTheme="majorBidi" w:hAnsiTheme="majorBidi" w:cstheme="majorBidi"/>
          <w:color w:val="000000" w:themeColor="text1"/>
          <w:szCs w:val="20"/>
        </w:rPr>
        <w:t xml:space="preserve"> 28, </w:t>
      </w:r>
      <w:proofErr w:type="spellStart"/>
      <w:r w:rsidRPr="00D4643C">
        <w:rPr>
          <w:rFonts w:asciiTheme="majorBidi" w:hAnsiTheme="majorBidi" w:cstheme="majorBidi"/>
          <w:color w:val="000000" w:themeColor="text1"/>
          <w:szCs w:val="20"/>
        </w:rPr>
        <w:t>para</w:t>
      </w:r>
      <w:proofErr w:type="spellEnd"/>
      <w:r w:rsidRPr="00D4643C">
        <w:rPr>
          <w:rFonts w:asciiTheme="majorBidi" w:hAnsiTheme="majorBidi" w:cstheme="majorBidi"/>
          <w:color w:val="000000" w:themeColor="text1"/>
          <w:szCs w:val="20"/>
        </w:rPr>
        <w:t>. 13.</w:t>
      </w:r>
    </w:p>
  </w:footnote>
  <w:footnote w:id="110">
    <w:p w:rsidR="00A7663B" w:rsidRPr="00D4643C" w:rsidRDefault="00A7663B" w:rsidP="00D4643C">
      <w:pPr>
        <w:pStyle w:val="FootnoteText"/>
        <w:jc w:val="both"/>
        <w:rPr>
          <w:rFonts w:asciiTheme="majorBid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Human Rights Watch, </w:t>
      </w:r>
      <w:r w:rsidRPr="00D4643C">
        <w:rPr>
          <w:rFonts w:asciiTheme="majorBidi" w:hAnsiTheme="majorBidi" w:cstheme="majorBidi"/>
          <w:i/>
          <w:iCs/>
          <w:color w:val="000000" w:themeColor="text1"/>
          <w:szCs w:val="20"/>
        </w:rPr>
        <w:t>“Forget About Him, He’s Not Here”: Israel’s Control of Palestinian Residency in the West Bank and Gaza</w:t>
      </w:r>
      <w:r w:rsidRPr="00D4643C">
        <w:rPr>
          <w:rFonts w:asciiTheme="majorBidi" w:hAnsiTheme="majorBidi" w:cstheme="majorBidi"/>
          <w:color w:val="000000" w:themeColor="text1"/>
          <w:szCs w:val="20"/>
        </w:rPr>
        <w:t>, New York, 2012.</w:t>
      </w:r>
    </w:p>
  </w:footnote>
  <w:footnote w:id="111">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Oslo II, Art.</w:t>
      </w:r>
      <w:r w:rsidRPr="00D4643C">
        <w:rPr>
          <w:rFonts w:asciiTheme="majorBidi" w:hAnsiTheme="majorBidi" w:cstheme="majorBidi"/>
          <w:color w:val="000000" w:themeColor="text1"/>
          <w:szCs w:val="20"/>
        </w:rPr>
        <w:t xml:space="preserve"> 28, </w:t>
      </w:r>
      <w:proofErr w:type="spellStart"/>
      <w:r w:rsidRPr="00D4643C">
        <w:rPr>
          <w:rFonts w:asciiTheme="majorBidi" w:hAnsiTheme="majorBidi" w:cstheme="majorBidi"/>
          <w:color w:val="000000" w:themeColor="text1"/>
          <w:szCs w:val="20"/>
        </w:rPr>
        <w:t>para</w:t>
      </w:r>
      <w:proofErr w:type="spellEnd"/>
      <w:r w:rsidRPr="00D4643C">
        <w:rPr>
          <w:rFonts w:asciiTheme="majorBidi" w:hAnsiTheme="majorBidi" w:cstheme="majorBidi"/>
          <w:color w:val="000000" w:themeColor="text1"/>
          <w:szCs w:val="20"/>
        </w:rPr>
        <w:t>. 14.</w:t>
      </w:r>
    </w:p>
  </w:footnote>
  <w:footnote w:id="112">
    <w:p w:rsidR="00A7663B" w:rsidRPr="00D4643C" w:rsidRDefault="00A7663B" w:rsidP="00D4643C">
      <w:pPr>
        <w:pStyle w:val="FootnoteText"/>
        <w:jc w:val="both"/>
        <w:rPr>
          <w:rFonts w:asciiTheme="majorBid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A.K. Wan, “Israel’s Conflicted Existence as a Jewish Democratic State: Striking the Proper Balance under the Citizenship and</w:t>
      </w:r>
      <w:r w:rsidRPr="00D4643C">
        <w:rPr>
          <w:rFonts w:asciiTheme="majorBidi" w:hAnsiTheme="majorBidi" w:cstheme="majorBidi"/>
          <w:color w:val="000000" w:themeColor="text1"/>
          <w:szCs w:val="20"/>
          <w:lang w:bidi="ar-SA"/>
        </w:rPr>
        <w:t xml:space="preserve"> </w:t>
      </w:r>
      <w:r w:rsidRPr="00D4643C">
        <w:rPr>
          <w:rFonts w:asciiTheme="majorBidi" w:hAnsiTheme="majorBidi" w:cstheme="majorBidi"/>
          <w:color w:val="000000" w:themeColor="text1"/>
          <w:szCs w:val="20"/>
        </w:rPr>
        <w:t xml:space="preserve">Entry into Israel Law”, </w:t>
      </w:r>
      <w:r w:rsidRPr="00D4643C">
        <w:rPr>
          <w:rFonts w:asciiTheme="majorBidi" w:hAnsiTheme="majorBidi" w:cstheme="majorBidi"/>
          <w:i/>
          <w:iCs/>
          <w:color w:val="000000" w:themeColor="text1"/>
          <w:szCs w:val="20"/>
        </w:rPr>
        <w:t>Brookline Journal of International Law</w:t>
      </w:r>
      <w:r w:rsidRPr="00D4643C">
        <w:rPr>
          <w:rFonts w:asciiTheme="majorBidi" w:hAnsiTheme="majorBidi" w:cstheme="majorBidi"/>
          <w:color w:val="000000" w:themeColor="text1"/>
          <w:szCs w:val="20"/>
        </w:rPr>
        <w:t xml:space="preserve"> 29(3), 2004, 1345-1402.</w:t>
      </w:r>
    </w:p>
  </w:footnote>
  <w:footnote w:id="113">
    <w:p w:rsidR="00A7663B" w:rsidRPr="00D4643C" w:rsidRDefault="00A7663B" w:rsidP="00D4643C">
      <w:pPr>
        <w:pStyle w:val="FootnoteText"/>
        <w:jc w:val="both"/>
        <w:rPr>
          <w:rFonts w:asciiTheme="majorBidi" w:hAnsiTheme="majorBidi" w:cstheme="majorBidi"/>
          <w:color w:val="000000" w:themeColor="text1"/>
          <w:szCs w:val="20"/>
          <w:rtl/>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S. </w:t>
      </w:r>
      <w:proofErr w:type="spellStart"/>
      <w:r w:rsidRPr="00D4643C">
        <w:rPr>
          <w:rFonts w:asciiTheme="majorBidi" w:hAnsiTheme="majorBidi" w:cstheme="majorBidi"/>
          <w:color w:val="000000" w:themeColor="text1"/>
          <w:szCs w:val="20"/>
        </w:rPr>
        <w:t>Ramahi</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The Suffering of Palestinians Seeking</w:t>
      </w:r>
      <w:r w:rsidRPr="00D4643C">
        <w:rPr>
          <w:rFonts w:asciiTheme="majorBidi" w:hAnsiTheme="majorBidi" w:cstheme="majorBidi"/>
          <w:i/>
          <w:iCs/>
          <w:color w:val="000000" w:themeColor="text1"/>
          <w:szCs w:val="20"/>
          <w:lang w:bidi="ar-SA"/>
        </w:rPr>
        <w:t xml:space="preserve"> </w:t>
      </w:r>
      <w:r w:rsidRPr="00D4643C">
        <w:rPr>
          <w:rFonts w:asciiTheme="majorBidi" w:hAnsiTheme="majorBidi" w:cstheme="majorBidi"/>
          <w:i/>
          <w:iCs/>
          <w:color w:val="000000" w:themeColor="text1"/>
          <w:szCs w:val="20"/>
        </w:rPr>
        <w:t>Family Reunification</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London, Middle East Monitor,</w:t>
      </w:r>
      <w:r w:rsidRPr="00D4643C">
        <w:rPr>
          <w:rFonts w:asciiTheme="majorBidi" w:hAnsiTheme="majorBidi" w:cstheme="majorBidi"/>
          <w:color w:val="000000" w:themeColor="text1"/>
          <w:szCs w:val="20"/>
          <w:lang w:bidi="ar-SA"/>
        </w:rPr>
        <w:t xml:space="preserve"> 2015.</w:t>
      </w:r>
    </w:p>
  </w:footnote>
  <w:footnote w:id="114">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A.P. Morse, “Citizenship by Naturalization”, </w:t>
      </w:r>
      <w:r w:rsidRPr="00D4643C">
        <w:rPr>
          <w:rFonts w:asciiTheme="majorBidi" w:hAnsiTheme="majorBidi" w:cstheme="majorBidi"/>
          <w:i/>
          <w:iCs/>
          <w:color w:val="000000" w:themeColor="text1"/>
          <w:szCs w:val="20"/>
        </w:rPr>
        <w:t>American Law Register</w:t>
      </w:r>
      <w:r>
        <w:rPr>
          <w:rFonts w:asciiTheme="majorBidi" w:hAnsiTheme="majorBidi" w:cstheme="majorBidi"/>
          <w:color w:val="000000" w:themeColor="text1"/>
          <w:szCs w:val="20"/>
        </w:rPr>
        <w:t>, 18, 1879, 665-675</w:t>
      </w:r>
      <w:r w:rsidRPr="00D4643C">
        <w:rPr>
          <w:rFonts w:asciiTheme="majorBidi" w:hAnsiTheme="majorBidi" w:cstheme="majorBidi"/>
          <w:color w:val="000000" w:themeColor="text1"/>
          <w:szCs w:val="20"/>
        </w:rPr>
        <w:t xml:space="preserve">; H.J. Randall, “Nationality and Naturalization: A Study in the Relativity of Law”, </w:t>
      </w:r>
      <w:r w:rsidRPr="00D4643C">
        <w:rPr>
          <w:rFonts w:asciiTheme="majorBidi" w:hAnsiTheme="majorBidi" w:cstheme="majorBidi"/>
          <w:i/>
          <w:iCs/>
          <w:color w:val="000000" w:themeColor="text1"/>
          <w:szCs w:val="20"/>
        </w:rPr>
        <w:t>The Law Quarterly Review</w:t>
      </w:r>
      <w:r w:rsidRPr="00D4643C">
        <w:rPr>
          <w:rFonts w:asciiTheme="majorBidi" w:hAnsiTheme="majorBidi" w:cstheme="majorBidi"/>
          <w:color w:val="000000" w:themeColor="text1"/>
          <w:szCs w:val="20"/>
        </w:rPr>
        <w:t>, 40, 1924, 18-30;</w:t>
      </w:r>
      <w:r w:rsidRPr="00D4643C">
        <w:rPr>
          <w:rFonts w:asciiTheme="majorBidi" w:eastAsiaTheme="minorHAnsi" w:hAnsiTheme="majorBidi" w:cstheme="majorBidi"/>
          <w:color w:val="000000" w:themeColor="text1"/>
          <w:szCs w:val="20"/>
          <w:lang w:bidi="he-IL"/>
        </w:rPr>
        <w:t xml:space="preserve"> </w:t>
      </w:r>
      <w:r w:rsidRPr="00D4643C">
        <w:rPr>
          <w:rFonts w:asciiTheme="majorBidi" w:hAnsiTheme="majorBidi" w:cstheme="majorBidi"/>
          <w:color w:val="000000" w:themeColor="text1"/>
          <w:szCs w:val="20"/>
        </w:rPr>
        <w:t xml:space="preserve">R. Donner, </w:t>
      </w:r>
      <w:r w:rsidRPr="00D4643C">
        <w:rPr>
          <w:rFonts w:asciiTheme="majorBidi" w:hAnsiTheme="majorBidi" w:cstheme="majorBidi"/>
          <w:i/>
          <w:iCs/>
          <w:color w:val="000000" w:themeColor="text1"/>
          <w:szCs w:val="20"/>
        </w:rPr>
        <w:t>The Regulation of Nationality in International Law</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 xml:space="preserve">New York, </w:t>
      </w:r>
      <w:r w:rsidRPr="00D4643C">
        <w:rPr>
          <w:rFonts w:asciiTheme="majorBidi" w:hAnsiTheme="majorBidi" w:cstheme="majorBidi"/>
          <w:color w:val="000000" w:themeColor="text1"/>
          <w:szCs w:val="20"/>
        </w:rPr>
        <w:t>Transn</w:t>
      </w:r>
      <w:r>
        <w:rPr>
          <w:rFonts w:asciiTheme="majorBidi" w:hAnsiTheme="majorBidi" w:cstheme="majorBidi"/>
          <w:color w:val="000000" w:themeColor="text1"/>
          <w:szCs w:val="20"/>
        </w:rPr>
        <w:t>ational Publishers, 1994, 1-120</w:t>
      </w:r>
      <w:r w:rsidRPr="00D4643C">
        <w:rPr>
          <w:rFonts w:asciiTheme="majorBidi" w:hAnsiTheme="majorBidi" w:cstheme="majorBidi"/>
          <w:color w:val="000000" w:themeColor="text1"/>
          <w:szCs w:val="20"/>
        </w:rPr>
        <w:t xml:space="preserve">; </w:t>
      </w:r>
      <w:r w:rsidRPr="00D4643C">
        <w:rPr>
          <w:rFonts w:asciiTheme="majorBidi" w:eastAsiaTheme="minorHAnsi" w:hAnsiTheme="majorBidi" w:cstheme="majorBidi"/>
          <w:color w:val="000000" w:themeColor="text1"/>
          <w:szCs w:val="20"/>
          <w:lang w:bidi="he-IL"/>
        </w:rPr>
        <w:t xml:space="preserve">R.M. White, </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 xml:space="preserve">Nationality, Citizenship and the Meaning of </w:t>
      </w:r>
      <w:proofErr w:type="spellStart"/>
      <w:r w:rsidRPr="00D4643C">
        <w:rPr>
          <w:rFonts w:asciiTheme="majorBidi" w:eastAsiaTheme="minorHAnsi" w:hAnsiTheme="majorBidi" w:cstheme="majorBidi"/>
          <w:color w:val="000000" w:themeColor="text1"/>
          <w:szCs w:val="20"/>
          <w:lang w:bidi="he-IL"/>
        </w:rPr>
        <w:t>Naturalisation</w:t>
      </w:r>
      <w:proofErr w:type="spellEnd"/>
      <w:r w:rsidRPr="00D4643C">
        <w:rPr>
          <w:rFonts w:asciiTheme="majorBidi" w:eastAsiaTheme="minorHAnsi" w:hAnsiTheme="majorBidi" w:cstheme="majorBidi"/>
          <w:color w:val="000000" w:themeColor="text1"/>
          <w:szCs w:val="20"/>
          <w:lang w:bidi="he-IL"/>
        </w:rPr>
        <w:t>: Brubaker, the United Kingdom, EU Citizens, Third-Country Nationals and the European Union</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eastAsiaTheme="minorHAnsi" w:hAnsiTheme="majorBidi" w:cstheme="majorBidi"/>
          <w:color w:val="000000" w:themeColor="text1"/>
          <w:szCs w:val="20"/>
          <w:shd w:val="clear" w:color="auto" w:fill="FFFFFF"/>
          <w:lang w:bidi="he-IL"/>
        </w:rPr>
        <w:t> </w:t>
      </w:r>
      <w:r w:rsidRPr="00D4643C">
        <w:rPr>
          <w:rFonts w:asciiTheme="majorBidi" w:eastAsiaTheme="minorHAnsi" w:hAnsiTheme="majorBidi" w:cstheme="majorBidi"/>
          <w:i/>
          <w:iCs/>
          <w:color w:val="000000" w:themeColor="text1"/>
          <w:szCs w:val="20"/>
          <w:lang w:bidi="he-IL"/>
        </w:rPr>
        <w:t>Northern Ireland Legal Quarterly</w:t>
      </w:r>
      <w:r w:rsidRPr="00D4643C">
        <w:rPr>
          <w:rFonts w:asciiTheme="majorBidi" w:eastAsiaTheme="minorHAnsi" w:hAnsiTheme="majorBidi" w:cstheme="majorBidi"/>
          <w:color w:val="000000" w:themeColor="text1"/>
          <w:szCs w:val="20"/>
          <w:shd w:val="clear" w:color="auto" w:fill="FFFFFF"/>
          <w:lang w:bidi="he-IL"/>
        </w:rPr>
        <w:t xml:space="preserve"> 53(3), 2002, 288-317</w:t>
      </w:r>
      <w:r w:rsidRPr="00D4643C">
        <w:rPr>
          <w:rFonts w:asciiTheme="majorBidi" w:hAnsiTheme="majorBidi" w:cstheme="majorBidi"/>
          <w:color w:val="000000" w:themeColor="text1"/>
          <w:szCs w:val="20"/>
        </w:rPr>
        <w:t>.</w:t>
      </w:r>
    </w:p>
  </w:footnote>
  <w:footnote w:id="115">
    <w:p w:rsidR="00A7663B" w:rsidRPr="00D4643C" w:rsidRDefault="00A7663B" w:rsidP="00DA35E8">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 Stein, “Revocation of Citizenship—‘Denaturalization’”, </w:t>
      </w:r>
      <w:r w:rsidRPr="00D4643C">
        <w:rPr>
          <w:rFonts w:asciiTheme="majorBidi" w:hAnsiTheme="majorBidi" w:cstheme="majorBidi"/>
          <w:i/>
          <w:iCs/>
          <w:color w:val="000000" w:themeColor="text1"/>
          <w:szCs w:val="20"/>
        </w:rPr>
        <w:t>Marquette Law Review</w:t>
      </w:r>
      <w:r w:rsidRPr="00D4643C">
        <w:rPr>
          <w:rFonts w:asciiTheme="majorBidi" w:hAnsiTheme="majorBidi" w:cstheme="majorBidi"/>
          <w:color w:val="000000" w:themeColor="text1"/>
          <w:szCs w:val="20"/>
        </w:rPr>
        <w:t xml:space="preserve">, 28, 1944, 59-74; A. </w:t>
      </w:r>
      <w:proofErr w:type="spellStart"/>
      <w:r w:rsidRPr="00D4643C">
        <w:rPr>
          <w:rFonts w:asciiTheme="majorBidi" w:hAnsiTheme="majorBidi" w:cstheme="majorBidi"/>
          <w:color w:val="000000" w:themeColor="text1"/>
          <w:szCs w:val="20"/>
        </w:rPr>
        <w:t>Mechbat</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Loss of Nationality: Comparative Study</w:t>
      </w:r>
      <w:r w:rsidRPr="00D4643C">
        <w:rPr>
          <w:rFonts w:asciiTheme="majorBidi" w:hAnsiTheme="majorBidi" w:cstheme="majorBidi"/>
          <w:color w:val="000000" w:themeColor="text1"/>
          <w:szCs w:val="20"/>
        </w:rPr>
        <w:t>, Algiers</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Institute of Law and Admini</w:t>
      </w:r>
      <w:r>
        <w:rPr>
          <w:rFonts w:asciiTheme="majorBidi" w:hAnsiTheme="majorBidi" w:cstheme="majorBidi"/>
          <w:color w:val="000000" w:themeColor="text1"/>
          <w:szCs w:val="20"/>
        </w:rPr>
        <w:t>stration at Algeria University,</w:t>
      </w:r>
      <w:r w:rsidRPr="00D4643C">
        <w:rPr>
          <w:rFonts w:asciiTheme="majorBidi" w:hAnsiTheme="majorBidi" w:cstheme="majorBidi"/>
          <w:color w:val="000000" w:themeColor="text1"/>
          <w:szCs w:val="20"/>
        </w:rPr>
        <w:t xml:space="preserve"> 1987; </w:t>
      </w:r>
      <w:r w:rsidRPr="00D4643C">
        <w:rPr>
          <w:rFonts w:asciiTheme="majorBidi" w:eastAsiaTheme="minorHAnsi" w:hAnsiTheme="majorBidi" w:cstheme="majorBidi"/>
          <w:color w:val="000000" w:themeColor="text1"/>
          <w:szCs w:val="20"/>
          <w:lang w:bidi="he-IL"/>
        </w:rPr>
        <w:t xml:space="preserve">S. </w:t>
      </w:r>
      <w:proofErr w:type="spellStart"/>
      <w:r w:rsidRPr="00D4643C">
        <w:rPr>
          <w:rFonts w:asciiTheme="majorBidi" w:eastAsiaTheme="minorHAnsi" w:hAnsiTheme="majorBidi" w:cstheme="majorBidi"/>
          <w:color w:val="000000" w:themeColor="text1"/>
          <w:szCs w:val="20"/>
          <w:lang w:bidi="he-IL"/>
        </w:rPr>
        <w:t>Lavi</w:t>
      </w:r>
      <w:proofErr w:type="spellEnd"/>
      <w:r w:rsidRPr="00D4643C">
        <w:rPr>
          <w:rFonts w:asciiTheme="majorBidi" w:eastAsiaTheme="minorHAnsi" w:hAnsiTheme="majorBidi" w:cstheme="majorBidi"/>
          <w:color w:val="000000" w:themeColor="text1"/>
          <w:szCs w:val="20"/>
          <w:lang w:bidi="he-IL"/>
        </w:rPr>
        <w:t xml:space="preserve">, </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Citizenship Revocation as Punishment: On the Modern Duties of Citizens and their Criminal Breach</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eastAsiaTheme="minorHAnsi" w:hAnsiTheme="majorBidi" w:cstheme="majorBidi"/>
          <w:color w:val="000000" w:themeColor="text1"/>
          <w:szCs w:val="20"/>
          <w:shd w:val="clear" w:color="auto" w:fill="FFFFFF"/>
          <w:lang w:bidi="he-IL"/>
        </w:rPr>
        <w:t> </w:t>
      </w:r>
      <w:r w:rsidRPr="00D4643C">
        <w:rPr>
          <w:rFonts w:asciiTheme="majorBidi" w:eastAsiaTheme="minorHAnsi" w:hAnsiTheme="majorBidi" w:cstheme="majorBidi"/>
          <w:i/>
          <w:iCs/>
          <w:color w:val="000000" w:themeColor="text1"/>
          <w:szCs w:val="20"/>
          <w:lang w:bidi="he-IL"/>
        </w:rPr>
        <w:t>University of Toronto Law Journal</w:t>
      </w:r>
      <w:r w:rsidRPr="00D4643C">
        <w:rPr>
          <w:rFonts w:asciiTheme="majorBidi" w:eastAsiaTheme="minorHAnsi" w:hAnsiTheme="majorBidi" w:cstheme="majorBidi"/>
          <w:color w:val="000000" w:themeColor="text1"/>
          <w:szCs w:val="20"/>
          <w:shd w:val="clear" w:color="auto" w:fill="FFFFFF"/>
          <w:lang w:bidi="he-IL"/>
        </w:rPr>
        <w:t>, 61(4), 2011, 783-810</w:t>
      </w:r>
      <w:r w:rsidRPr="00D4643C">
        <w:rPr>
          <w:rFonts w:asciiTheme="majorBidi" w:hAnsiTheme="majorBidi" w:cstheme="majorBidi"/>
          <w:color w:val="000000" w:themeColor="text1"/>
          <w:szCs w:val="20"/>
        </w:rPr>
        <w:t xml:space="preserve">; </w:t>
      </w:r>
      <w:r w:rsidRPr="00D4643C">
        <w:rPr>
          <w:rFonts w:asciiTheme="majorBidi" w:eastAsiaTheme="minorHAnsi" w:hAnsiTheme="majorBidi" w:cstheme="majorBidi"/>
          <w:color w:val="000000" w:themeColor="text1"/>
          <w:szCs w:val="20"/>
          <w:lang w:bidi="he-IL"/>
        </w:rPr>
        <w:t xml:space="preserve">A. Macklin, </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Citizenship Revocation, the Privilege to Have Rights and the Production of the Alien</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hAnsiTheme="majorBidi" w:cstheme="majorBidi"/>
          <w:color w:val="000000" w:themeColor="text1"/>
          <w:szCs w:val="20"/>
          <w:shd w:val="clear" w:color="auto" w:fill="FFFFFF"/>
        </w:rPr>
        <w:t> </w:t>
      </w:r>
      <w:r w:rsidRPr="00D4643C">
        <w:rPr>
          <w:rFonts w:asciiTheme="majorBidi" w:hAnsiTheme="majorBidi" w:cstheme="majorBidi"/>
          <w:i/>
          <w:iCs/>
          <w:color w:val="000000" w:themeColor="text1"/>
          <w:szCs w:val="20"/>
        </w:rPr>
        <w:t>Queen</w:t>
      </w:r>
      <w:r w:rsidRPr="00D4643C">
        <w:rPr>
          <w:rFonts w:asciiTheme="majorBidi" w:hAnsiTheme="majorBidi" w:cstheme="majorBidi"/>
          <w:color w:val="000000" w:themeColor="text1"/>
          <w:szCs w:val="20"/>
        </w:rPr>
        <w:t>’</w:t>
      </w:r>
      <w:r w:rsidRPr="00D4643C">
        <w:rPr>
          <w:rFonts w:asciiTheme="majorBidi" w:hAnsiTheme="majorBidi" w:cstheme="majorBidi"/>
          <w:i/>
          <w:iCs/>
          <w:color w:val="000000" w:themeColor="text1"/>
          <w:szCs w:val="20"/>
        </w:rPr>
        <w:t>s Law Journal</w:t>
      </w:r>
      <w:r w:rsidRPr="00D4643C">
        <w:rPr>
          <w:rFonts w:asciiTheme="majorBidi" w:hAnsiTheme="majorBidi" w:cstheme="majorBidi"/>
          <w:color w:val="000000" w:themeColor="text1"/>
          <w:szCs w:val="20"/>
          <w:shd w:val="clear" w:color="auto" w:fill="FFFFFF"/>
        </w:rPr>
        <w:t>, 40(1), 2014, 1-54.</w:t>
      </w:r>
    </w:p>
  </w:footnote>
  <w:footnote w:id="116">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V. </w:t>
      </w:r>
      <w:proofErr w:type="spellStart"/>
      <w:r w:rsidRPr="00D4643C">
        <w:rPr>
          <w:rFonts w:asciiTheme="majorBidi" w:hAnsiTheme="majorBidi" w:cstheme="majorBidi"/>
          <w:color w:val="000000" w:themeColor="text1"/>
          <w:szCs w:val="20"/>
        </w:rPr>
        <w:t>Kattan</w:t>
      </w:r>
      <w:proofErr w:type="spellEnd"/>
      <w:r w:rsidRPr="00D4643C">
        <w:rPr>
          <w:rFonts w:asciiTheme="majorBidi" w:hAnsiTheme="majorBidi" w:cstheme="majorBidi"/>
          <w:color w:val="000000" w:themeColor="text1"/>
          <w:szCs w:val="20"/>
        </w:rPr>
        <w:t>, “</w:t>
      </w:r>
      <w:r w:rsidRPr="00D4643C">
        <w:rPr>
          <w:rFonts w:asciiTheme="majorBidi" w:eastAsiaTheme="minorHAnsi" w:hAnsiTheme="majorBidi" w:cstheme="majorBidi"/>
          <w:color w:val="000000" w:themeColor="text1"/>
          <w:szCs w:val="20"/>
          <w:lang w:bidi="he-IL"/>
        </w:rPr>
        <w:t>The Nationality of Denationalized Palestinians</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eastAsiaTheme="minorHAnsi" w:hAnsiTheme="majorBidi" w:cstheme="majorBidi"/>
          <w:color w:val="000000" w:themeColor="text1"/>
          <w:szCs w:val="20"/>
          <w:shd w:val="clear" w:color="auto" w:fill="FFFFFF"/>
          <w:lang w:bidi="he-IL"/>
        </w:rPr>
        <w:t> </w:t>
      </w:r>
      <w:r w:rsidRPr="00D4643C">
        <w:rPr>
          <w:rFonts w:asciiTheme="majorBidi" w:eastAsiaTheme="minorHAnsi" w:hAnsiTheme="majorBidi" w:cstheme="majorBidi"/>
          <w:i/>
          <w:iCs/>
          <w:color w:val="000000" w:themeColor="text1"/>
          <w:szCs w:val="20"/>
          <w:lang w:bidi="he-IL"/>
        </w:rPr>
        <w:t>Nordic Journal of International Law</w:t>
      </w:r>
      <w:r w:rsidRPr="00D4643C">
        <w:rPr>
          <w:rFonts w:asciiTheme="majorBidi" w:eastAsiaTheme="minorHAnsi" w:hAnsiTheme="majorBidi" w:cstheme="majorBidi"/>
          <w:color w:val="000000" w:themeColor="text1"/>
          <w:szCs w:val="20"/>
          <w:shd w:val="clear" w:color="auto" w:fill="FFFFFF"/>
          <w:lang w:bidi="he-IL"/>
        </w:rPr>
        <w:t>, 74(1), 2005, 67-102</w:t>
      </w:r>
      <w:r w:rsidRPr="00D4643C">
        <w:rPr>
          <w:rFonts w:asciiTheme="majorBidi" w:hAnsiTheme="majorBidi" w:cstheme="majorBidi"/>
          <w:color w:val="000000" w:themeColor="text1"/>
          <w:szCs w:val="20"/>
        </w:rPr>
        <w:t>.</w:t>
      </w:r>
    </w:p>
  </w:footnote>
  <w:footnote w:id="117">
    <w:p w:rsidR="00A7663B" w:rsidRPr="00D4643C" w:rsidRDefault="00A7663B" w:rsidP="00D4643C">
      <w:pPr>
        <w:pStyle w:val="FootnoteText"/>
        <w:jc w:val="both"/>
        <w:rPr>
          <w:rFonts w:asciiTheme="majorBidi" w:eastAsiaTheme="minorHAns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C. Maugham, “Some Cases of Double Nationality”, </w:t>
      </w:r>
      <w:r w:rsidRPr="00D4643C">
        <w:rPr>
          <w:rFonts w:asciiTheme="majorBidi" w:hAnsiTheme="majorBidi" w:cstheme="majorBidi"/>
          <w:i/>
          <w:iCs/>
          <w:color w:val="000000" w:themeColor="text1"/>
          <w:szCs w:val="20"/>
        </w:rPr>
        <w:t>The Juridical Review</w:t>
      </w:r>
      <w:r w:rsidRPr="00D4643C">
        <w:rPr>
          <w:rFonts w:asciiTheme="majorBidi" w:hAnsiTheme="majorBidi" w:cstheme="majorBidi"/>
          <w:color w:val="000000" w:themeColor="text1"/>
          <w:szCs w:val="20"/>
        </w:rPr>
        <w:t xml:space="preserve">, 4, 1892, 135-143; R.W. </w:t>
      </w:r>
      <w:proofErr w:type="spellStart"/>
      <w:r w:rsidRPr="00D4643C">
        <w:rPr>
          <w:rFonts w:asciiTheme="majorBidi" w:hAnsiTheme="majorBidi" w:cstheme="majorBidi"/>
          <w:color w:val="000000" w:themeColor="text1"/>
          <w:szCs w:val="20"/>
        </w:rPr>
        <w:t>Flournoy</w:t>
      </w:r>
      <w:proofErr w:type="spellEnd"/>
      <w:r w:rsidRPr="00D4643C">
        <w:rPr>
          <w:rFonts w:asciiTheme="majorBidi" w:hAnsiTheme="majorBidi" w:cstheme="majorBidi"/>
          <w:color w:val="000000" w:themeColor="text1"/>
          <w:szCs w:val="20"/>
        </w:rPr>
        <w:t>, Jr., “Dual Nationality and</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 xml:space="preserve">Election”, </w:t>
      </w:r>
      <w:r w:rsidRPr="00D4643C">
        <w:rPr>
          <w:rFonts w:asciiTheme="majorBidi" w:hAnsiTheme="majorBidi" w:cstheme="majorBidi"/>
          <w:i/>
          <w:iCs/>
          <w:color w:val="000000" w:themeColor="text1"/>
          <w:szCs w:val="20"/>
        </w:rPr>
        <w:t>Yale Law Journal</w:t>
      </w:r>
      <w:r w:rsidRPr="00D4643C">
        <w:rPr>
          <w:rFonts w:asciiTheme="majorBidi" w:hAnsiTheme="majorBidi" w:cstheme="majorBidi"/>
          <w:color w:val="000000" w:themeColor="text1"/>
          <w:szCs w:val="20"/>
        </w:rPr>
        <w:t xml:space="preserve">, 30, 1921, 693-709; L.B. </w:t>
      </w:r>
      <w:proofErr w:type="spellStart"/>
      <w:r w:rsidRPr="00D4643C">
        <w:rPr>
          <w:rFonts w:asciiTheme="majorBidi" w:hAnsiTheme="majorBidi" w:cstheme="majorBidi"/>
          <w:color w:val="000000" w:themeColor="text1"/>
          <w:szCs w:val="20"/>
        </w:rPr>
        <w:t>Orfield</w:t>
      </w:r>
      <w:proofErr w:type="spellEnd"/>
      <w:r w:rsidRPr="00D4643C">
        <w:rPr>
          <w:rFonts w:asciiTheme="majorBidi" w:hAnsiTheme="majorBidi" w:cstheme="majorBidi"/>
          <w:color w:val="000000" w:themeColor="text1"/>
          <w:szCs w:val="20"/>
        </w:rPr>
        <w:t xml:space="preserve">, “Legal Effects of Dual Nationality”, </w:t>
      </w:r>
      <w:r w:rsidRPr="00D4643C">
        <w:rPr>
          <w:rFonts w:asciiTheme="majorBidi" w:hAnsiTheme="majorBidi" w:cstheme="majorBidi"/>
          <w:i/>
          <w:iCs/>
          <w:color w:val="000000" w:themeColor="text1"/>
          <w:szCs w:val="20"/>
        </w:rPr>
        <w:t>George Washington Law Review</w:t>
      </w:r>
      <w:r w:rsidRPr="00D4643C">
        <w:rPr>
          <w:rFonts w:asciiTheme="majorBidi" w:hAnsiTheme="majorBidi" w:cstheme="majorBidi"/>
          <w:color w:val="000000" w:themeColor="text1"/>
          <w:szCs w:val="20"/>
        </w:rPr>
        <w:t xml:space="preserve">, 17, 1949, 427-445; L. </w:t>
      </w:r>
      <w:proofErr w:type="spellStart"/>
      <w:r w:rsidRPr="00D4643C">
        <w:rPr>
          <w:rFonts w:asciiTheme="majorBidi" w:hAnsiTheme="majorBidi" w:cstheme="majorBidi"/>
          <w:color w:val="000000" w:themeColor="text1"/>
          <w:szCs w:val="20"/>
        </w:rPr>
        <w:t>Bosniak</w:t>
      </w:r>
      <w:proofErr w:type="spellEnd"/>
      <w:r w:rsidRPr="00D4643C">
        <w:rPr>
          <w:rFonts w:asciiTheme="majorBidi" w:hAnsiTheme="majorBidi" w:cstheme="majorBidi"/>
          <w:color w:val="000000" w:themeColor="text1"/>
          <w:szCs w:val="20"/>
        </w:rPr>
        <w:t xml:space="preserve">, “Multiple Nationality and the </w:t>
      </w:r>
      <w:proofErr w:type="spellStart"/>
      <w:r w:rsidRPr="00D4643C">
        <w:rPr>
          <w:rFonts w:asciiTheme="majorBidi" w:hAnsiTheme="majorBidi" w:cstheme="majorBidi"/>
          <w:color w:val="000000" w:themeColor="text1"/>
          <w:szCs w:val="20"/>
        </w:rPr>
        <w:t>Postnational</w:t>
      </w:r>
      <w:proofErr w:type="spellEnd"/>
      <w:r w:rsidRPr="00D4643C">
        <w:rPr>
          <w:rFonts w:asciiTheme="majorBidi" w:hAnsiTheme="majorBidi" w:cstheme="majorBidi"/>
          <w:color w:val="000000" w:themeColor="text1"/>
          <w:szCs w:val="20"/>
        </w:rPr>
        <w:t xml:space="preserve"> Transformation of Citizenship”, </w:t>
      </w:r>
      <w:r w:rsidRPr="00D4643C">
        <w:rPr>
          <w:rFonts w:asciiTheme="majorBidi" w:hAnsiTheme="majorBidi" w:cstheme="majorBidi"/>
          <w:i/>
          <w:iCs/>
          <w:color w:val="000000" w:themeColor="text1"/>
          <w:szCs w:val="20"/>
        </w:rPr>
        <w:t>Virginia Journal of International Law</w:t>
      </w:r>
      <w:r w:rsidRPr="00D4643C">
        <w:rPr>
          <w:rFonts w:asciiTheme="majorBidi" w:hAnsiTheme="majorBidi" w:cstheme="majorBidi"/>
          <w:color w:val="000000" w:themeColor="text1"/>
          <w:szCs w:val="20"/>
        </w:rPr>
        <w:t>, 42, 2002, 979-1004;</w:t>
      </w:r>
      <w:r w:rsidRPr="00D4643C">
        <w:rPr>
          <w:rFonts w:asciiTheme="majorBidi" w:eastAsiaTheme="minorHAnsi" w:hAnsiTheme="majorBidi" w:cstheme="majorBidi"/>
          <w:color w:val="000000" w:themeColor="text1"/>
          <w:szCs w:val="20"/>
          <w:lang w:bidi="ar-SA"/>
        </w:rPr>
        <w:t xml:space="preserve"> </w:t>
      </w:r>
      <w:r w:rsidRPr="00D4643C">
        <w:rPr>
          <w:rFonts w:asciiTheme="majorBidi" w:eastAsiaTheme="minorHAnsi" w:hAnsiTheme="majorBidi" w:cstheme="majorBidi"/>
          <w:color w:val="000000" w:themeColor="text1"/>
          <w:szCs w:val="20"/>
          <w:lang w:bidi="he-IL"/>
        </w:rPr>
        <w:t xml:space="preserve">M.A. </w:t>
      </w:r>
      <w:proofErr w:type="spellStart"/>
      <w:r w:rsidRPr="00D4643C">
        <w:rPr>
          <w:rFonts w:asciiTheme="majorBidi" w:eastAsiaTheme="minorHAnsi" w:hAnsiTheme="majorBidi" w:cstheme="majorBidi"/>
          <w:color w:val="000000" w:themeColor="text1"/>
          <w:szCs w:val="20"/>
          <w:lang w:bidi="he-IL"/>
        </w:rPr>
        <w:t>Apostolache</w:t>
      </w:r>
      <w:proofErr w:type="spellEnd"/>
      <w:r w:rsidRPr="00D4643C">
        <w:rPr>
          <w:rFonts w:asciiTheme="majorBidi" w:hAnsiTheme="majorBidi" w:cstheme="majorBidi"/>
          <w:color w:val="000000" w:themeColor="text1"/>
          <w:szCs w:val="20"/>
        </w:rPr>
        <w:t>, “</w:t>
      </w:r>
      <w:r w:rsidRPr="00D4643C">
        <w:rPr>
          <w:rFonts w:asciiTheme="majorBidi" w:eastAsiaTheme="minorHAnsi" w:hAnsiTheme="majorBidi" w:cstheme="majorBidi"/>
          <w:color w:val="000000" w:themeColor="text1"/>
          <w:szCs w:val="20"/>
          <w:lang w:bidi="he-IL"/>
        </w:rPr>
        <w:t>Considerations on the Issue of Multiple Citizenship</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 xml:space="preserve">, </w:t>
      </w:r>
      <w:r w:rsidRPr="00D4643C">
        <w:rPr>
          <w:rFonts w:asciiTheme="majorBidi" w:hAnsiTheme="majorBidi" w:cstheme="majorBidi"/>
          <w:i/>
          <w:iCs/>
          <w:color w:val="000000" w:themeColor="text1"/>
          <w:szCs w:val="20"/>
        </w:rPr>
        <w:t>Journal of Law and Administrative Sciences</w:t>
      </w:r>
      <w:r w:rsidRPr="00D4643C">
        <w:rPr>
          <w:rFonts w:asciiTheme="majorBidi" w:hAnsiTheme="majorBidi" w:cstheme="majorBidi"/>
          <w:color w:val="000000" w:themeColor="text1"/>
          <w:szCs w:val="20"/>
          <w:shd w:val="clear" w:color="auto" w:fill="FFFFFF"/>
        </w:rPr>
        <w:t>, 3, 2015, 14-22</w:t>
      </w:r>
      <w:r w:rsidRPr="00D4643C">
        <w:rPr>
          <w:rFonts w:asciiTheme="majorBidi" w:hAnsiTheme="majorBidi" w:cstheme="majorBidi"/>
          <w:color w:val="000000" w:themeColor="text1"/>
          <w:szCs w:val="20"/>
        </w:rPr>
        <w:t>.</w:t>
      </w:r>
    </w:p>
  </w:footnote>
  <w:footnote w:id="11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eastAsiaTheme="minorHAnsi" w:hAnsiTheme="majorBidi" w:cstheme="majorBidi"/>
          <w:color w:val="000000" w:themeColor="text1"/>
          <w:szCs w:val="20"/>
          <w:lang w:bidi="he-IL"/>
        </w:rPr>
        <w:t xml:space="preserve">P.J. Spiro, </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Dual Citizenship as Human Right</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hAnsiTheme="majorBidi" w:cstheme="majorBidi"/>
          <w:color w:val="000000" w:themeColor="text1"/>
          <w:szCs w:val="20"/>
          <w:shd w:val="clear" w:color="auto" w:fill="FFFFFF"/>
        </w:rPr>
        <w:t> </w:t>
      </w:r>
      <w:r w:rsidRPr="00D4643C">
        <w:rPr>
          <w:rFonts w:asciiTheme="majorBidi" w:hAnsiTheme="majorBidi" w:cstheme="majorBidi"/>
          <w:i/>
          <w:iCs/>
          <w:color w:val="000000" w:themeColor="text1"/>
          <w:szCs w:val="20"/>
        </w:rPr>
        <w:t>International Journal of Constitutional Law</w:t>
      </w:r>
      <w:r w:rsidRPr="00D4643C">
        <w:rPr>
          <w:rFonts w:asciiTheme="majorBidi" w:hAnsiTheme="majorBidi" w:cstheme="majorBidi"/>
          <w:color w:val="000000" w:themeColor="text1"/>
          <w:szCs w:val="20"/>
          <w:shd w:val="clear" w:color="auto" w:fill="FFFFFF"/>
        </w:rPr>
        <w:t xml:space="preserve"> 8(1), 2010, 111-130.</w:t>
      </w:r>
    </w:p>
  </w:footnote>
  <w:footnote w:id="119">
    <w:p w:rsidR="00A7663B" w:rsidRDefault="00A7663B">
      <w:pPr>
        <w:pStyle w:val="FootnoteText"/>
      </w:pPr>
      <w:r>
        <w:rPr>
          <w:rStyle w:val="FootnoteReference"/>
        </w:rPr>
        <w:footnoteRef/>
      </w:r>
      <w:r>
        <w:t xml:space="preserve"> A copy of the draft citizenship law, which has never been published, is in file with the writer.</w:t>
      </w:r>
    </w:p>
  </w:footnote>
  <w:footnote w:id="120">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M. </w:t>
      </w:r>
      <w:proofErr w:type="spellStart"/>
      <w:r w:rsidRPr="00D4643C">
        <w:rPr>
          <w:rFonts w:asciiTheme="majorBidi" w:hAnsiTheme="majorBidi" w:cstheme="majorBidi"/>
          <w:color w:val="000000" w:themeColor="text1"/>
          <w:szCs w:val="20"/>
        </w:rPr>
        <w:t>Qafisheh</w:t>
      </w:r>
      <w:proofErr w:type="spellEnd"/>
      <w:r w:rsidRPr="00D4643C">
        <w:rPr>
          <w:rFonts w:asciiTheme="majorBidi" w:hAnsiTheme="majorBidi" w:cstheme="majorBidi"/>
          <w:color w:val="000000" w:themeColor="text1"/>
          <w:szCs w:val="20"/>
        </w:rPr>
        <w:t xml:space="preserve">, “Legislative Drafting in Transitional States: The Case of Palestine”, </w:t>
      </w:r>
      <w:r w:rsidRPr="00D4643C">
        <w:rPr>
          <w:rFonts w:asciiTheme="majorBidi" w:hAnsiTheme="majorBidi" w:cstheme="majorBidi"/>
          <w:i/>
          <w:color w:val="000000" w:themeColor="text1"/>
          <w:szCs w:val="20"/>
        </w:rPr>
        <w:t>International Journal for Legislative Drafting and Law Reform</w:t>
      </w:r>
      <w:r w:rsidRPr="00D4643C">
        <w:rPr>
          <w:rFonts w:asciiTheme="majorBidi" w:hAnsiTheme="majorBidi" w:cstheme="majorBidi"/>
          <w:color w:val="000000" w:themeColor="text1"/>
          <w:szCs w:val="20"/>
        </w:rPr>
        <w:t>, 2, 2014, 7-34.</w:t>
      </w:r>
    </w:p>
  </w:footnote>
  <w:footnote w:id="121">
    <w:p w:rsidR="00A7663B" w:rsidRDefault="00A7663B">
      <w:pPr>
        <w:pStyle w:val="FootnoteText"/>
      </w:pPr>
      <w:r>
        <w:rPr>
          <w:rStyle w:val="FootnoteReference"/>
        </w:rPr>
        <w:footnoteRef/>
      </w:r>
      <w:r>
        <w:t xml:space="preserve"> </w:t>
      </w:r>
      <w:proofErr w:type="spellStart"/>
      <w:r w:rsidRPr="00D4643C">
        <w:rPr>
          <w:rFonts w:asciiTheme="majorBidi" w:hAnsiTheme="majorBidi" w:cstheme="majorBidi"/>
          <w:color w:val="000000" w:themeColor="text1"/>
          <w:szCs w:val="20"/>
        </w:rPr>
        <w:t>Qafisheh</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Natio</w:t>
      </w:r>
      <w:r>
        <w:rPr>
          <w:rFonts w:asciiTheme="majorBidi" w:hAnsiTheme="majorBidi" w:cstheme="majorBidi"/>
          <w:i/>
          <w:iCs/>
          <w:color w:val="000000" w:themeColor="text1"/>
          <w:szCs w:val="20"/>
        </w:rPr>
        <w:t>nality and Domicile</w:t>
      </w:r>
      <w:r w:rsidRPr="00D4643C">
        <w:rPr>
          <w:rFonts w:asciiTheme="majorBidi" w:hAnsiTheme="majorBidi" w:cstheme="majorBidi"/>
          <w:color w:val="000000" w:themeColor="text1"/>
          <w:szCs w:val="20"/>
        </w:rPr>
        <w:t>,</w:t>
      </w:r>
      <w:r>
        <w:t xml:space="preserve"> above footnote 59.</w:t>
      </w:r>
    </w:p>
  </w:footnote>
  <w:footnote w:id="12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E.M. </w:t>
      </w:r>
      <w:proofErr w:type="spellStart"/>
      <w:r w:rsidRPr="00D4643C">
        <w:rPr>
          <w:rFonts w:asciiTheme="majorBidi" w:hAnsiTheme="majorBidi" w:cstheme="majorBidi"/>
          <w:color w:val="000000" w:themeColor="text1"/>
          <w:szCs w:val="20"/>
        </w:rPr>
        <w:t>Borchard</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The Protection of Citizens Abroad or the Law of International Claims</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New York, Banks Law Publishing</w:t>
      </w:r>
      <w:r w:rsidRPr="00D4643C">
        <w:rPr>
          <w:rFonts w:asciiTheme="majorBidi" w:hAnsiTheme="majorBidi" w:cstheme="majorBidi"/>
          <w:color w:val="000000" w:themeColor="text1"/>
          <w:szCs w:val="20"/>
        </w:rPr>
        <w:t xml:space="preserve">, 1919; G.I.F. Leigh, “Nationality and Diplomatic Protection”, </w:t>
      </w:r>
      <w:r w:rsidRPr="00D4643C">
        <w:rPr>
          <w:rFonts w:asciiTheme="majorBidi" w:hAnsiTheme="majorBidi" w:cstheme="majorBidi"/>
          <w:i/>
          <w:iCs/>
          <w:color w:val="000000" w:themeColor="text1"/>
          <w:szCs w:val="20"/>
        </w:rPr>
        <w:t>The International and Comparative Law Quarterly</w:t>
      </w:r>
      <w:r w:rsidRPr="00D4643C">
        <w:rPr>
          <w:rFonts w:asciiTheme="majorBidi" w:hAnsiTheme="majorBidi" w:cstheme="majorBidi"/>
          <w:color w:val="000000" w:themeColor="text1"/>
          <w:szCs w:val="20"/>
        </w:rPr>
        <w:t xml:space="preserve">, 20, 1971, 453-475; </w:t>
      </w:r>
      <w:r w:rsidRPr="00D4643C">
        <w:rPr>
          <w:rFonts w:asciiTheme="majorBidi" w:eastAsiaTheme="minorHAnsi" w:hAnsiTheme="majorBidi" w:cstheme="majorBidi"/>
          <w:color w:val="000000" w:themeColor="text1"/>
          <w:szCs w:val="20"/>
          <w:lang w:bidi="he-IL"/>
        </w:rPr>
        <w:t xml:space="preserve">A. Pellet, </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Second</w:t>
      </w:r>
      <w:r>
        <w:rPr>
          <w:rFonts w:asciiTheme="majorBidi" w:eastAsiaTheme="minorHAnsi" w:hAnsiTheme="majorBidi" w:cstheme="majorBidi"/>
          <w:color w:val="000000" w:themeColor="text1"/>
          <w:szCs w:val="20"/>
          <w:lang w:bidi="he-IL"/>
        </w:rPr>
        <w:t xml:space="preserve"> Death of </w:t>
      </w:r>
      <w:proofErr w:type="spellStart"/>
      <w:r>
        <w:rPr>
          <w:rFonts w:asciiTheme="majorBidi" w:eastAsiaTheme="minorHAnsi" w:hAnsiTheme="majorBidi" w:cstheme="majorBidi"/>
          <w:color w:val="000000" w:themeColor="text1"/>
          <w:szCs w:val="20"/>
          <w:lang w:bidi="he-IL"/>
        </w:rPr>
        <w:t>Euripide</w:t>
      </w:r>
      <w:proofErr w:type="spellEnd"/>
      <w:r>
        <w:rPr>
          <w:rFonts w:asciiTheme="majorBidi" w:eastAsiaTheme="minorHAnsi" w:hAnsiTheme="majorBidi" w:cstheme="majorBidi"/>
          <w:color w:val="000000" w:themeColor="text1"/>
          <w:szCs w:val="20"/>
          <w:lang w:bidi="he-IL"/>
        </w:rPr>
        <w:t xml:space="preserve"> </w:t>
      </w:r>
      <w:proofErr w:type="spellStart"/>
      <w:r>
        <w:rPr>
          <w:rFonts w:asciiTheme="majorBidi" w:eastAsiaTheme="minorHAnsi" w:hAnsiTheme="majorBidi" w:cstheme="majorBidi"/>
          <w:color w:val="000000" w:themeColor="text1"/>
          <w:szCs w:val="20"/>
          <w:lang w:bidi="he-IL"/>
        </w:rPr>
        <w:t>Mavrommatis</w:t>
      </w:r>
      <w:proofErr w:type="spellEnd"/>
      <w:r>
        <w:rPr>
          <w:rFonts w:asciiTheme="majorBidi" w:eastAsiaTheme="minorHAnsi" w:hAnsiTheme="majorBidi" w:cstheme="majorBidi"/>
          <w:color w:val="000000" w:themeColor="text1"/>
          <w:szCs w:val="20"/>
          <w:lang w:bidi="he-IL"/>
        </w:rPr>
        <w:t>:</w:t>
      </w:r>
      <w:r w:rsidRPr="00D4643C">
        <w:rPr>
          <w:rFonts w:asciiTheme="majorBidi" w:eastAsiaTheme="minorHAnsi" w:hAnsiTheme="majorBidi" w:cstheme="majorBidi"/>
          <w:color w:val="000000" w:themeColor="text1"/>
          <w:szCs w:val="20"/>
          <w:lang w:bidi="he-IL"/>
        </w:rPr>
        <w:t xml:space="preserve"> Notes on the International Law Commission</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s Draft Articles on Diplomatic Protection</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hAnsiTheme="majorBidi" w:cstheme="majorBidi"/>
          <w:i/>
          <w:iCs/>
          <w:color w:val="000000" w:themeColor="text1"/>
          <w:szCs w:val="20"/>
        </w:rPr>
        <w:t xml:space="preserve"> Law and Practice of International Courts and Tribunals</w:t>
      </w:r>
      <w:r w:rsidRPr="00D4643C">
        <w:rPr>
          <w:rFonts w:asciiTheme="majorBidi" w:hAnsiTheme="majorBidi" w:cstheme="majorBidi"/>
          <w:color w:val="000000" w:themeColor="text1"/>
          <w:szCs w:val="20"/>
          <w:shd w:val="clear" w:color="auto" w:fill="FFFFFF"/>
        </w:rPr>
        <w:t>, 7(1), 2008, 33-58</w:t>
      </w:r>
      <w:r w:rsidRPr="00D4643C">
        <w:rPr>
          <w:rFonts w:asciiTheme="majorBidi" w:hAnsiTheme="majorBidi" w:cstheme="majorBidi"/>
          <w:color w:val="000000" w:themeColor="text1"/>
          <w:szCs w:val="20"/>
        </w:rPr>
        <w:t>.</w:t>
      </w:r>
    </w:p>
  </w:footnote>
  <w:footnote w:id="123">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Art.</w:t>
      </w:r>
      <w:r w:rsidRPr="00D4643C">
        <w:rPr>
          <w:rFonts w:asciiTheme="majorBidi" w:hAnsiTheme="majorBidi" w:cstheme="majorBidi"/>
          <w:color w:val="000000" w:themeColor="text1"/>
          <w:szCs w:val="20"/>
        </w:rPr>
        <w:t xml:space="preserve"> IX, </w:t>
      </w:r>
      <w:proofErr w:type="spellStart"/>
      <w:r w:rsidRPr="00D4643C">
        <w:rPr>
          <w:rFonts w:asciiTheme="majorBidi" w:hAnsiTheme="majorBidi" w:cstheme="majorBidi"/>
          <w:color w:val="000000" w:themeColor="text1"/>
          <w:szCs w:val="20"/>
        </w:rPr>
        <w:t>para</w:t>
      </w:r>
      <w:proofErr w:type="spellEnd"/>
      <w:r w:rsidRPr="00D4643C">
        <w:rPr>
          <w:rFonts w:asciiTheme="majorBidi" w:hAnsiTheme="majorBidi" w:cstheme="majorBidi"/>
          <w:color w:val="000000" w:themeColor="text1"/>
          <w:szCs w:val="20"/>
        </w:rPr>
        <w:t>. 5.</w:t>
      </w:r>
    </w:p>
  </w:footnote>
  <w:footnote w:id="124">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500 UNTS 95 (entry into force 24 Apr. 1964)</w:t>
      </w:r>
      <w:r w:rsidRPr="00D4643C">
        <w:rPr>
          <w:rFonts w:asciiTheme="majorBidi" w:hAnsiTheme="majorBidi" w:cstheme="majorBidi"/>
          <w:color w:val="000000" w:themeColor="text1"/>
          <w:szCs w:val="20"/>
        </w:rPr>
        <w:t>.</w:t>
      </w:r>
    </w:p>
  </w:footnote>
  <w:footnote w:id="125">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596 UNTS 261</w:t>
      </w:r>
      <w:r>
        <w:rPr>
          <w:rFonts w:asciiTheme="majorBidi" w:hAnsiTheme="majorBidi" w:cstheme="majorBidi"/>
          <w:color w:val="000000" w:themeColor="text1"/>
          <w:szCs w:val="20"/>
        </w:rPr>
        <w:t xml:space="preserve"> (entry into force 19 Mar. 1967)</w:t>
      </w:r>
      <w:r w:rsidRPr="00D4643C">
        <w:rPr>
          <w:rFonts w:asciiTheme="majorBidi" w:hAnsiTheme="majorBidi" w:cstheme="majorBidi"/>
          <w:color w:val="000000" w:themeColor="text1"/>
          <w:szCs w:val="20"/>
        </w:rPr>
        <w:t>.</w:t>
      </w:r>
    </w:p>
  </w:footnote>
  <w:footnote w:id="126">
    <w:p w:rsidR="00A7663B" w:rsidRPr="00D4643C" w:rsidRDefault="00A7663B" w:rsidP="004E4CA4">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A.M. </w:t>
      </w:r>
      <w:proofErr w:type="spellStart"/>
      <w:r w:rsidRPr="00D4643C">
        <w:rPr>
          <w:rFonts w:asciiTheme="majorBidi" w:hAnsiTheme="majorBidi" w:cstheme="majorBidi"/>
          <w:color w:val="000000" w:themeColor="text1"/>
          <w:szCs w:val="20"/>
        </w:rPr>
        <w:t>Barham</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 xml:space="preserve">Reforming the Palestine Liberation Organization: Problems of Structure and </w:t>
      </w:r>
      <w:proofErr w:type="spellStart"/>
      <w:r w:rsidRPr="00D4643C">
        <w:rPr>
          <w:rFonts w:asciiTheme="majorBidi" w:hAnsiTheme="majorBidi" w:cstheme="majorBidi"/>
          <w:i/>
          <w:iCs/>
          <w:color w:val="000000" w:themeColor="text1"/>
          <w:szCs w:val="20"/>
        </w:rPr>
        <w:t>Programme</w:t>
      </w:r>
      <w:proofErr w:type="spellEnd"/>
      <w:r w:rsidRPr="00D4643C">
        <w:rPr>
          <w:rFonts w:asciiTheme="majorBidi" w:hAnsiTheme="majorBidi" w:cstheme="majorBidi"/>
          <w:color w:val="000000" w:themeColor="text1"/>
          <w:szCs w:val="20"/>
        </w:rPr>
        <w:t>, Nablus</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w:t>
      </w:r>
      <w:proofErr w:type="spellStart"/>
      <w:r>
        <w:rPr>
          <w:rFonts w:asciiTheme="majorBidi" w:hAnsiTheme="majorBidi" w:cstheme="majorBidi"/>
          <w:color w:val="000000" w:themeColor="text1"/>
          <w:szCs w:val="20"/>
        </w:rPr>
        <w:t>Najah</w:t>
      </w:r>
      <w:proofErr w:type="spellEnd"/>
      <w:r>
        <w:rPr>
          <w:rFonts w:asciiTheme="majorBidi" w:hAnsiTheme="majorBidi" w:cstheme="majorBidi"/>
          <w:color w:val="000000" w:themeColor="text1"/>
          <w:szCs w:val="20"/>
        </w:rPr>
        <w:t xml:space="preserve"> University</w:t>
      </w:r>
      <w:r w:rsidRPr="00D4643C">
        <w:rPr>
          <w:rFonts w:asciiTheme="majorBidi" w:hAnsiTheme="majorBidi" w:cstheme="majorBidi"/>
          <w:color w:val="000000" w:themeColor="text1"/>
          <w:szCs w:val="20"/>
        </w:rPr>
        <w:t>, 2007 (master’s thesis), 160, 185, 196.</w:t>
      </w:r>
    </w:p>
  </w:footnote>
  <w:footnote w:id="12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Decree Law No. 1 of 2 Sep. 2007 Concerning General Elections, Palestine Gazette No. 72, 9 Sep. 2007, 2, Art. 27 (parliamentary and presidential elections); Election of Local </w:t>
      </w:r>
      <w:r>
        <w:rPr>
          <w:rFonts w:asciiTheme="majorBidi" w:hAnsiTheme="majorBidi" w:cstheme="majorBidi"/>
          <w:color w:val="000000" w:themeColor="text1"/>
          <w:szCs w:val="20"/>
        </w:rPr>
        <w:t>Councils Law No. 10 of 15 Aug.</w:t>
      </w:r>
      <w:r w:rsidRPr="00D4643C">
        <w:rPr>
          <w:rFonts w:asciiTheme="majorBidi" w:hAnsiTheme="majorBidi" w:cstheme="majorBidi"/>
          <w:color w:val="000000" w:themeColor="text1"/>
          <w:szCs w:val="20"/>
        </w:rPr>
        <w:t xml:space="preserve"> 2005, Palestine Gazette No. 57, 18 Aug. 2005, 79, Art. 7 (municipal</w:t>
      </w:r>
      <w:r>
        <w:rPr>
          <w:rFonts w:asciiTheme="majorBidi" w:hAnsiTheme="majorBidi" w:cstheme="majorBidi"/>
          <w:color w:val="000000" w:themeColor="text1"/>
          <w:szCs w:val="20"/>
        </w:rPr>
        <w:t xml:space="preserve"> elections</w:t>
      </w:r>
      <w:r w:rsidRPr="00D4643C">
        <w:rPr>
          <w:rFonts w:asciiTheme="majorBidi" w:hAnsiTheme="majorBidi" w:cstheme="majorBidi"/>
          <w:color w:val="000000" w:themeColor="text1"/>
          <w:szCs w:val="20"/>
        </w:rPr>
        <w:t>).</w:t>
      </w:r>
    </w:p>
  </w:footnote>
  <w:footnote w:id="12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Civil Service Law No. 4 of 28 May 1998, Palestine Gazette No. 24, 1 Jul. 1998, 20, Art. 24.</w:t>
      </w:r>
    </w:p>
  </w:footnote>
  <w:footnote w:id="129">
    <w:p w:rsidR="00A7663B" w:rsidRPr="00D4643C" w:rsidRDefault="00A7663B" w:rsidP="00D4643C">
      <w:pPr>
        <w:pStyle w:val="FootnoteText"/>
        <w:jc w:val="both"/>
        <w:rPr>
          <w:rFonts w:asciiTheme="majorBid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eastAsia="Batang" w:hAnsiTheme="majorBidi" w:cstheme="majorBidi"/>
          <w:color w:val="000000" w:themeColor="text1"/>
          <w:szCs w:val="20"/>
        </w:rPr>
        <w:t>Judicial Authority Law No. 1 of 14 May 2002</w:t>
      </w:r>
      <w:r w:rsidRPr="00D4643C">
        <w:rPr>
          <w:rFonts w:asciiTheme="majorBidi" w:hAnsiTheme="majorBidi" w:cstheme="majorBidi"/>
          <w:color w:val="000000" w:themeColor="text1"/>
          <w:szCs w:val="20"/>
          <w:lang w:bidi="ar-SA"/>
        </w:rPr>
        <w:t xml:space="preserve">, </w:t>
      </w:r>
      <w:r w:rsidRPr="00D4643C">
        <w:rPr>
          <w:rFonts w:asciiTheme="majorBidi" w:hAnsiTheme="majorBidi" w:cstheme="majorBidi"/>
          <w:color w:val="000000" w:themeColor="text1"/>
          <w:szCs w:val="20"/>
        </w:rPr>
        <w:t>Palestine Gazette No. 38, 5 Sep. 2001, 279, Art. 16.</w:t>
      </w:r>
    </w:p>
  </w:footnote>
  <w:footnote w:id="130">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Law on Lease </w:t>
      </w:r>
      <w:r>
        <w:rPr>
          <w:rFonts w:asciiTheme="majorBidi" w:hAnsiTheme="majorBidi" w:cstheme="majorBidi"/>
          <w:color w:val="000000" w:themeColor="text1"/>
          <w:szCs w:val="20"/>
        </w:rPr>
        <w:t>and Sale of Immovable Property b</w:t>
      </w:r>
      <w:r w:rsidRPr="00D4643C">
        <w:rPr>
          <w:rFonts w:asciiTheme="majorBidi" w:hAnsiTheme="majorBidi" w:cstheme="majorBidi"/>
          <w:color w:val="000000" w:themeColor="text1"/>
          <w:szCs w:val="20"/>
        </w:rPr>
        <w:t xml:space="preserve">y Foreigners No. 40 of 27 Jan. 1953 (applicable in the West Bank), Jordan Gazette No. 1134, 16 Feb. 1953, </w:t>
      </w:r>
      <w:r w:rsidRPr="00D4643C">
        <w:rPr>
          <w:rFonts w:asciiTheme="majorBidi" w:hAnsiTheme="majorBidi" w:cstheme="majorBidi"/>
          <w:color w:val="000000" w:themeColor="text1"/>
          <w:szCs w:val="20"/>
          <w:lang w:bidi="ar-SA"/>
        </w:rPr>
        <w:t>558, Art. 3 (conditions for owning real estate by non-citizens).</w:t>
      </w:r>
    </w:p>
  </w:footnote>
  <w:footnote w:id="131">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E.g. Legal Profession Law No. of 24 Jun. 1999, Palestine Gazette No. 30, 10 Oct. 1999, 5, Art. 3.</w:t>
      </w:r>
    </w:p>
  </w:footnote>
  <w:footnote w:id="13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Labour</w:t>
      </w:r>
      <w:proofErr w:type="spellEnd"/>
      <w:r w:rsidRPr="00D4643C">
        <w:rPr>
          <w:rFonts w:asciiTheme="majorBidi" w:hAnsiTheme="majorBidi" w:cstheme="majorBidi"/>
          <w:color w:val="000000" w:themeColor="text1"/>
          <w:szCs w:val="20"/>
        </w:rPr>
        <w:t xml:space="preserve"> Law No. 7 of 30 Apr. 2000, Palestine Gazette No. 39, 25 Nov. 2001, 7, Art. 14 (conditions for non-Palestinians to work </w:t>
      </w:r>
      <w:r>
        <w:rPr>
          <w:rFonts w:asciiTheme="majorBidi" w:hAnsiTheme="majorBidi" w:cstheme="majorBidi"/>
          <w:color w:val="000000" w:themeColor="text1"/>
          <w:szCs w:val="20"/>
        </w:rPr>
        <w:t xml:space="preserve">I </w:t>
      </w:r>
      <w:r w:rsidRPr="00D4643C">
        <w:rPr>
          <w:rFonts w:asciiTheme="majorBidi" w:hAnsiTheme="majorBidi" w:cstheme="majorBidi"/>
          <w:color w:val="000000" w:themeColor="text1"/>
          <w:szCs w:val="20"/>
        </w:rPr>
        <w:t>n Palestine).</w:t>
      </w:r>
    </w:p>
  </w:footnote>
  <w:footnote w:id="133">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Asso</w:t>
      </w:r>
      <w:r>
        <w:rPr>
          <w:rFonts w:asciiTheme="majorBidi" w:hAnsiTheme="majorBidi" w:cstheme="majorBidi"/>
          <w:color w:val="000000" w:themeColor="text1"/>
          <w:szCs w:val="20"/>
        </w:rPr>
        <w:t>ciations Law No. 1 of 16 Jan.</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 xml:space="preserve">of </w:t>
      </w:r>
      <w:r w:rsidRPr="00D4643C">
        <w:rPr>
          <w:rFonts w:asciiTheme="majorBidi" w:hAnsiTheme="majorBidi" w:cstheme="majorBidi"/>
          <w:color w:val="000000" w:themeColor="text1"/>
          <w:szCs w:val="20"/>
        </w:rPr>
        <w:t>2000, Palestine Gazette, No. 32, 29 Feb. 2000, 71, Art. 1.</w:t>
      </w:r>
    </w:p>
  </w:footnote>
  <w:footnote w:id="134">
    <w:p w:rsidR="00A7663B" w:rsidRPr="00A63F6E" w:rsidRDefault="00A7663B" w:rsidP="00A63F6E">
      <w:pPr>
        <w:pStyle w:val="FootnoteText"/>
        <w:jc w:val="both"/>
        <w:rPr>
          <w:rFonts w:asciiTheme="majorBidi" w:hAnsiTheme="majorBidi" w:cstheme="majorBidi"/>
          <w:color w:val="000000" w:themeColor="text1"/>
          <w:szCs w:val="20"/>
        </w:rPr>
      </w:pPr>
      <w:r w:rsidRPr="00A63F6E">
        <w:rPr>
          <w:rStyle w:val="FootnoteReference"/>
          <w:color w:val="000000" w:themeColor="text1"/>
        </w:rPr>
        <w:footnoteRef/>
      </w:r>
      <w:r w:rsidRPr="00A63F6E">
        <w:rPr>
          <w:color w:val="000000" w:themeColor="text1"/>
        </w:rPr>
        <w:t xml:space="preserve"> Palestine does reach bilateral agreements with various States on different matters, including trade, agriculture, communications, health, security, etc. For instance, a series of agreements between Jordan and Palestine were signed on 23 Apr. 2014. See </w:t>
      </w:r>
      <w:proofErr w:type="spellStart"/>
      <w:r w:rsidRPr="00A63F6E">
        <w:rPr>
          <w:color w:val="000000" w:themeColor="text1"/>
        </w:rPr>
        <w:t>Wafa</w:t>
      </w:r>
      <w:proofErr w:type="spellEnd"/>
      <w:r w:rsidRPr="00A63F6E">
        <w:rPr>
          <w:color w:val="000000" w:themeColor="text1"/>
        </w:rPr>
        <w:t xml:space="preserve">, </w:t>
      </w:r>
      <w:r w:rsidRPr="00A63F6E">
        <w:rPr>
          <w:rFonts w:asciiTheme="majorBidi" w:hAnsiTheme="majorBidi" w:cstheme="majorBidi"/>
          <w:color w:val="000000" w:themeColor="text1"/>
          <w:szCs w:val="20"/>
        </w:rPr>
        <w:t xml:space="preserve">“In the President’s Presence: Signing Cooperation </w:t>
      </w:r>
      <w:r>
        <w:rPr>
          <w:rFonts w:asciiTheme="majorBidi" w:hAnsiTheme="majorBidi" w:cstheme="majorBidi"/>
          <w:color w:val="000000" w:themeColor="text1"/>
          <w:szCs w:val="20"/>
        </w:rPr>
        <w:t>Agreements</w:t>
      </w:r>
      <w:r w:rsidRPr="00A63F6E">
        <w:rPr>
          <w:rFonts w:asciiTheme="majorBidi" w:hAnsiTheme="majorBidi" w:cstheme="majorBidi"/>
          <w:color w:val="000000" w:themeColor="text1"/>
          <w:szCs w:val="20"/>
        </w:rPr>
        <w:t xml:space="preserve"> Between Palestine and Jordan”</w:t>
      </w:r>
      <w:r w:rsidRPr="00A63F6E">
        <w:rPr>
          <w:color w:val="000000" w:themeColor="text1"/>
        </w:rPr>
        <w:t xml:space="preserve">, </w:t>
      </w:r>
      <w:r>
        <w:rPr>
          <w:rFonts w:asciiTheme="majorBidi" w:hAnsiTheme="majorBidi" w:cstheme="majorBidi"/>
          <w:color w:val="000000" w:themeColor="text1"/>
          <w:szCs w:val="20"/>
        </w:rPr>
        <w:t xml:space="preserve">Ramallah, </w:t>
      </w:r>
      <w:r w:rsidRPr="00A63F6E">
        <w:rPr>
          <w:rFonts w:asciiTheme="majorBidi" w:hAnsiTheme="majorBidi" w:cstheme="majorBidi"/>
          <w:color w:val="000000" w:themeColor="text1"/>
          <w:szCs w:val="20"/>
        </w:rPr>
        <w:t>available online at: http://www.wafa.ps (visited 9 Oct. 2015).</w:t>
      </w:r>
    </w:p>
  </w:footnote>
  <w:footnote w:id="135">
    <w:p w:rsidR="00A7663B" w:rsidRPr="00D4643C" w:rsidRDefault="00A7663B" w:rsidP="00D4643C">
      <w:pPr>
        <w:pStyle w:val="FootnoteText"/>
        <w:jc w:val="both"/>
        <w:rPr>
          <w:rFonts w:asciiTheme="majorBidi" w:eastAsiaTheme="minorHAnsi" w:hAnsiTheme="majorBidi" w:cstheme="majorBidi"/>
          <w:color w:val="000000" w:themeColor="text1"/>
          <w:szCs w:val="20"/>
          <w:lang w:bidi="he-IL"/>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D.H. </w:t>
      </w:r>
      <w:proofErr w:type="spellStart"/>
      <w:r w:rsidRPr="00D4643C">
        <w:rPr>
          <w:rFonts w:asciiTheme="majorBidi" w:hAnsiTheme="majorBidi" w:cstheme="majorBidi"/>
          <w:color w:val="000000" w:themeColor="text1"/>
          <w:szCs w:val="20"/>
        </w:rPr>
        <w:t>Pingrey</w:t>
      </w:r>
      <w:proofErr w:type="spellEnd"/>
      <w:r w:rsidRPr="00D4643C">
        <w:rPr>
          <w:rFonts w:asciiTheme="majorBidi" w:hAnsiTheme="majorBidi" w:cstheme="majorBidi"/>
          <w:color w:val="000000" w:themeColor="text1"/>
          <w:szCs w:val="20"/>
        </w:rPr>
        <w:t xml:space="preserve">, “Citizenship and Rights There-under”, </w:t>
      </w:r>
      <w:r w:rsidRPr="00D4643C">
        <w:rPr>
          <w:rFonts w:asciiTheme="majorBidi" w:hAnsiTheme="majorBidi" w:cstheme="majorBidi"/>
          <w:i/>
          <w:iCs/>
          <w:color w:val="000000" w:themeColor="text1"/>
          <w:szCs w:val="20"/>
        </w:rPr>
        <w:t>The Central Law Journal</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24, 1887, 540-544;</w:t>
      </w:r>
      <w:r w:rsidRPr="00D4643C">
        <w:rPr>
          <w:rFonts w:asciiTheme="majorBidi" w:eastAsiaTheme="minorHAnsi" w:hAnsiTheme="majorBidi" w:cstheme="majorBidi"/>
          <w:color w:val="000000" w:themeColor="text1"/>
          <w:szCs w:val="20"/>
          <w:lang w:bidi="he-IL"/>
        </w:rPr>
        <w:t xml:space="preserve"> </w:t>
      </w:r>
      <w:r>
        <w:rPr>
          <w:rFonts w:asciiTheme="majorBidi" w:hAnsiTheme="majorBidi" w:cstheme="majorBidi"/>
          <w:color w:val="000000" w:themeColor="text1"/>
          <w:szCs w:val="20"/>
        </w:rPr>
        <w:t xml:space="preserve">M.S. McDougal, H.D. </w:t>
      </w:r>
      <w:proofErr w:type="spellStart"/>
      <w:r>
        <w:rPr>
          <w:rFonts w:asciiTheme="majorBidi" w:hAnsiTheme="majorBidi" w:cstheme="majorBidi"/>
          <w:color w:val="000000" w:themeColor="text1"/>
          <w:szCs w:val="20"/>
        </w:rPr>
        <w:t>Lasswell</w:t>
      </w:r>
      <w:proofErr w:type="spellEnd"/>
      <w:r w:rsidRPr="00D4643C">
        <w:rPr>
          <w:rFonts w:asciiTheme="majorBidi" w:hAnsiTheme="majorBidi" w:cstheme="majorBidi"/>
          <w:color w:val="000000" w:themeColor="text1"/>
          <w:szCs w:val="20"/>
        </w:rPr>
        <w:t xml:space="preserve"> &amp; Lung-</w:t>
      </w:r>
      <w:proofErr w:type="spellStart"/>
      <w:r w:rsidRPr="00D4643C">
        <w:rPr>
          <w:rFonts w:asciiTheme="majorBidi" w:hAnsiTheme="majorBidi" w:cstheme="majorBidi"/>
          <w:color w:val="000000" w:themeColor="text1"/>
          <w:szCs w:val="20"/>
        </w:rPr>
        <w:t>chu</w:t>
      </w:r>
      <w:proofErr w:type="spellEnd"/>
      <w:r w:rsidRPr="00D4643C">
        <w:rPr>
          <w:rFonts w:asciiTheme="majorBidi" w:hAnsiTheme="majorBidi" w:cstheme="majorBidi"/>
          <w:color w:val="000000" w:themeColor="text1"/>
          <w:szCs w:val="20"/>
        </w:rPr>
        <w:t xml:space="preserve"> Chen, “Nationality and Human Rights: The Protection of the Individual in External Arenas”,</w:t>
      </w:r>
      <w:r w:rsidRPr="00D4643C">
        <w:rPr>
          <w:rFonts w:asciiTheme="majorBidi" w:hAnsiTheme="majorBidi" w:cstheme="majorBidi"/>
          <w:i/>
          <w:iCs/>
          <w:color w:val="000000" w:themeColor="text1"/>
          <w:szCs w:val="20"/>
        </w:rPr>
        <w:t xml:space="preserve"> Yale Law Journal</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 xml:space="preserve">83, 1974, 900-998; G. </w:t>
      </w:r>
      <w:proofErr w:type="spellStart"/>
      <w:r w:rsidRPr="00D4643C">
        <w:rPr>
          <w:rFonts w:asciiTheme="majorBidi" w:hAnsiTheme="majorBidi" w:cstheme="majorBidi"/>
          <w:color w:val="000000" w:themeColor="text1"/>
          <w:szCs w:val="20"/>
        </w:rPr>
        <w:t>Budlender</w:t>
      </w:r>
      <w:proofErr w:type="spellEnd"/>
      <w:r w:rsidRPr="00D4643C">
        <w:rPr>
          <w:rFonts w:asciiTheme="majorBidi" w:hAnsiTheme="majorBidi" w:cstheme="majorBidi"/>
          <w:color w:val="000000" w:themeColor="text1"/>
          <w:szCs w:val="20"/>
        </w:rPr>
        <w:t xml:space="preserve">, “On Citizenship and Residence Rights: Taking Words Seriously”, </w:t>
      </w:r>
      <w:r w:rsidRPr="004E4CA4">
        <w:rPr>
          <w:rFonts w:asciiTheme="majorBidi" w:hAnsiTheme="majorBidi" w:cstheme="majorBidi"/>
          <w:i/>
          <w:iCs/>
          <w:color w:val="000000" w:themeColor="text1"/>
          <w:szCs w:val="20"/>
        </w:rPr>
        <w:t>South African Journal on Human Rights</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5, 1989, 37-59; L.C. Stratton, “The Right to Have Rights: Gender Discrimination in Nationality Laws”, </w:t>
      </w:r>
      <w:r w:rsidRPr="00D4643C">
        <w:rPr>
          <w:rFonts w:asciiTheme="majorBidi" w:hAnsiTheme="majorBidi" w:cstheme="majorBidi"/>
          <w:i/>
          <w:iCs/>
          <w:color w:val="000000" w:themeColor="text1"/>
          <w:szCs w:val="20"/>
        </w:rPr>
        <w:t>Minnesota Law Review</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 xml:space="preserve">77, 1993, 195-239; </w:t>
      </w:r>
      <w:r w:rsidRPr="00D4643C">
        <w:rPr>
          <w:rFonts w:asciiTheme="majorBidi" w:eastAsiaTheme="minorHAnsi" w:hAnsiTheme="majorBidi" w:cstheme="majorBidi"/>
          <w:color w:val="000000" w:themeColor="text1"/>
          <w:szCs w:val="20"/>
          <w:lang w:bidi="he-IL"/>
        </w:rPr>
        <w:t xml:space="preserve">P. </w:t>
      </w:r>
      <w:proofErr w:type="spellStart"/>
      <w:r w:rsidRPr="00D4643C">
        <w:rPr>
          <w:rFonts w:asciiTheme="majorBidi" w:eastAsiaTheme="minorHAnsi" w:hAnsiTheme="majorBidi" w:cstheme="majorBidi"/>
          <w:color w:val="000000" w:themeColor="text1"/>
          <w:szCs w:val="20"/>
          <w:lang w:bidi="he-IL"/>
        </w:rPr>
        <w:t>Mindus</w:t>
      </w:r>
      <w:proofErr w:type="spellEnd"/>
      <w:r w:rsidRPr="00D4643C">
        <w:rPr>
          <w:rFonts w:asciiTheme="majorBidi" w:eastAsiaTheme="minorHAnsi" w:hAnsiTheme="majorBidi" w:cstheme="majorBidi"/>
          <w:color w:val="000000" w:themeColor="text1"/>
          <w:szCs w:val="20"/>
          <w:lang w:bidi="he-IL"/>
        </w:rPr>
        <w:t xml:space="preserve">, </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Dimensions of Citizenship</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hAnsiTheme="majorBidi" w:cstheme="majorBidi"/>
          <w:color w:val="000000" w:themeColor="text1"/>
          <w:szCs w:val="20"/>
          <w:shd w:val="clear" w:color="auto" w:fill="FFFFFF"/>
        </w:rPr>
        <w:t> </w:t>
      </w:r>
      <w:r w:rsidRPr="00D4643C">
        <w:rPr>
          <w:rFonts w:asciiTheme="majorBidi" w:hAnsiTheme="majorBidi" w:cstheme="majorBidi"/>
          <w:i/>
          <w:iCs/>
          <w:color w:val="000000" w:themeColor="text1"/>
          <w:szCs w:val="20"/>
        </w:rPr>
        <w:t>German Law Journal</w:t>
      </w:r>
      <w:r w:rsidRPr="00D4643C">
        <w:rPr>
          <w:rFonts w:asciiTheme="majorBidi" w:hAnsiTheme="majorBidi" w:cstheme="majorBidi"/>
          <w:color w:val="000000" w:themeColor="text1"/>
          <w:szCs w:val="20"/>
          <w:shd w:val="clear" w:color="auto" w:fill="FFFFFF"/>
        </w:rPr>
        <w:t xml:space="preserve"> 15(5), 2014, 735-750;</w:t>
      </w:r>
      <w:r w:rsidRPr="00D4643C">
        <w:rPr>
          <w:rFonts w:asciiTheme="majorBidi" w:eastAsiaTheme="minorHAnsi" w:hAnsiTheme="majorBidi" w:cstheme="majorBidi"/>
          <w:color w:val="000000" w:themeColor="text1"/>
          <w:szCs w:val="20"/>
          <w:lang w:bidi="he-IL"/>
        </w:rPr>
        <w:t xml:space="preserve"> U. Davy,</w:t>
      </w:r>
      <w:r w:rsidRPr="00D4643C">
        <w:rPr>
          <w:rFonts w:asciiTheme="majorBidi" w:hAnsiTheme="majorBidi" w:cstheme="majorBidi"/>
          <w:color w:val="000000" w:themeColor="text1"/>
          <w:szCs w:val="20"/>
        </w:rPr>
        <w:t xml:space="preserve"> “</w:t>
      </w:r>
      <w:r w:rsidRPr="00D4643C">
        <w:rPr>
          <w:rFonts w:asciiTheme="majorBidi" w:eastAsiaTheme="minorHAnsi" w:hAnsiTheme="majorBidi" w:cstheme="majorBidi"/>
          <w:color w:val="000000" w:themeColor="text1"/>
          <w:szCs w:val="20"/>
          <w:lang w:bidi="he-IL"/>
        </w:rPr>
        <w:t>How Human Rights Shape Social Citizenship: On Citizenship and the Understanding of Economic and Social Rights</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 </w:t>
      </w:r>
      <w:r w:rsidRPr="00D4643C">
        <w:rPr>
          <w:rFonts w:asciiTheme="majorBidi" w:hAnsiTheme="majorBidi" w:cstheme="majorBidi"/>
          <w:i/>
          <w:iCs/>
          <w:color w:val="000000" w:themeColor="text1"/>
          <w:szCs w:val="20"/>
        </w:rPr>
        <w:t>Washington University Global Studies Law Review</w:t>
      </w:r>
      <w:r w:rsidRPr="00D4643C">
        <w:rPr>
          <w:rFonts w:asciiTheme="majorBidi" w:hAnsiTheme="majorBidi" w:cstheme="majorBidi"/>
          <w:color w:val="000000" w:themeColor="text1"/>
          <w:szCs w:val="20"/>
          <w:shd w:val="clear" w:color="auto" w:fill="FFFFFF"/>
        </w:rPr>
        <w:t>, 13(2), 2014, 201-263</w:t>
      </w:r>
      <w:r w:rsidRPr="00D4643C">
        <w:rPr>
          <w:rFonts w:asciiTheme="majorBidi" w:eastAsiaTheme="minorHAnsi" w:hAnsiTheme="majorBidi" w:cstheme="majorBidi"/>
          <w:color w:val="000000" w:themeColor="text1"/>
          <w:szCs w:val="20"/>
          <w:lang w:bidi="he-IL"/>
        </w:rPr>
        <w:t>.</w:t>
      </w:r>
    </w:p>
  </w:footnote>
  <w:footnote w:id="136">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For a survey on the citizenship of various political entities, see A. Grossman, “Nationality and the Unrecognized State”, </w:t>
      </w:r>
      <w:r w:rsidRPr="00D4643C">
        <w:rPr>
          <w:rFonts w:asciiTheme="majorBidi" w:hAnsiTheme="majorBidi" w:cstheme="majorBidi"/>
          <w:i/>
          <w:iCs/>
          <w:color w:val="000000" w:themeColor="text1"/>
          <w:szCs w:val="20"/>
        </w:rPr>
        <w:t>International and Comparative Law Quarterly</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50(4), 2001, 849-867.</w:t>
      </w:r>
    </w:p>
  </w:footnote>
  <w:footnote w:id="137">
    <w:p w:rsidR="00A7663B" w:rsidRPr="00D4643C" w:rsidRDefault="00A7663B" w:rsidP="004E4CA4">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A.R. </w:t>
      </w:r>
      <w:proofErr w:type="spellStart"/>
      <w:r w:rsidRPr="00D4643C">
        <w:rPr>
          <w:rFonts w:asciiTheme="majorBidi" w:hAnsiTheme="majorBidi" w:cstheme="majorBidi"/>
          <w:color w:val="000000" w:themeColor="text1"/>
          <w:szCs w:val="20"/>
        </w:rPr>
        <w:t>Dawwas</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Conflict of Laws in Palestine</w:t>
      </w:r>
      <w:r w:rsidRPr="00D4643C">
        <w:rPr>
          <w:rFonts w:asciiTheme="majorBidi" w:hAnsiTheme="majorBidi" w:cstheme="majorBidi"/>
          <w:color w:val="000000" w:themeColor="text1"/>
          <w:szCs w:val="20"/>
        </w:rPr>
        <w:t>, Amman/Ramallah</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Dar Al-</w:t>
      </w:r>
      <w:proofErr w:type="spellStart"/>
      <w:r>
        <w:rPr>
          <w:rFonts w:asciiTheme="majorBidi" w:hAnsiTheme="majorBidi" w:cstheme="majorBidi"/>
          <w:color w:val="000000" w:themeColor="text1"/>
          <w:szCs w:val="20"/>
        </w:rPr>
        <w:t>Shorok</w:t>
      </w:r>
      <w:proofErr w:type="spellEnd"/>
      <w:r w:rsidRPr="00D4643C">
        <w:rPr>
          <w:rFonts w:asciiTheme="majorBidi" w:hAnsiTheme="majorBidi" w:cstheme="majorBidi"/>
          <w:color w:val="000000" w:themeColor="text1"/>
          <w:szCs w:val="20"/>
        </w:rPr>
        <w:t>, 2001.</w:t>
      </w:r>
    </w:p>
  </w:footnote>
  <w:footnote w:id="13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M. </w:t>
      </w:r>
      <w:proofErr w:type="spellStart"/>
      <w:r w:rsidRPr="00D4643C">
        <w:rPr>
          <w:rFonts w:asciiTheme="majorBidi" w:hAnsiTheme="majorBidi" w:cstheme="majorBidi"/>
          <w:color w:val="000000" w:themeColor="text1"/>
          <w:szCs w:val="20"/>
        </w:rPr>
        <w:t>Qafisheh</w:t>
      </w:r>
      <w:proofErr w:type="spellEnd"/>
      <w:r w:rsidRPr="00D4643C">
        <w:rPr>
          <w:rFonts w:asciiTheme="majorBidi" w:hAnsiTheme="majorBidi" w:cstheme="majorBidi"/>
          <w:color w:val="000000" w:themeColor="text1"/>
          <w:szCs w:val="20"/>
        </w:rPr>
        <w:t xml:space="preserve"> &amp; V. </w:t>
      </w:r>
      <w:proofErr w:type="spellStart"/>
      <w:r w:rsidRPr="00D4643C">
        <w:rPr>
          <w:rFonts w:asciiTheme="majorBidi" w:hAnsiTheme="majorBidi" w:cstheme="majorBidi"/>
          <w:color w:val="000000" w:themeColor="text1"/>
          <w:szCs w:val="20"/>
        </w:rPr>
        <w:t>Azarov</w:t>
      </w:r>
      <w:proofErr w:type="spellEnd"/>
      <w:r w:rsidRPr="00D4643C">
        <w:rPr>
          <w:rFonts w:asciiTheme="majorBidi" w:hAnsiTheme="majorBidi" w:cstheme="majorBidi"/>
          <w:color w:val="000000" w:themeColor="text1"/>
          <w:szCs w:val="20"/>
        </w:rPr>
        <w:t xml:space="preserve">, “Article 1D”, in A. Zimmerman (ed.), </w:t>
      </w:r>
      <w:r w:rsidRPr="00D4643C">
        <w:rPr>
          <w:rFonts w:asciiTheme="majorBidi" w:hAnsiTheme="majorBidi" w:cstheme="majorBidi"/>
          <w:i/>
          <w:iCs/>
          <w:color w:val="000000" w:themeColor="text1"/>
          <w:szCs w:val="20"/>
        </w:rPr>
        <w:t>The 1951 Convention Relating to the Status of Refugees and Its 1967 Protocol: A Commentary</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Oxford, Oxford University Press</w:t>
      </w:r>
      <w:r w:rsidRPr="00D4643C">
        <w:rPr>
          <w:rFonts w:asciiTheme="majorBidi" w:hAnsiTheme="majorBidi" w:cstheme="majorBidi"/>
          <w:color w:val="000000" w:themeColor="text1"/>
          <w:szCs w:val="20"/>
        </w:rPr>
        <w:t>, 2011, 537-569.</w:t>
      </w:r>
    </w:p>
  </w:footnote>
  <w:footnote w:id="139">
    <w:p w:rsidR="00A7663B" w:rsidRPr="00D4643C" w:rsidRDefault="00A7663B" w:rsidP="00D4643C">
      <w:pPr>
        <w:pStyle w:val="FootnoteText"/>
        <w:jc w:val="both"/>
        <w:rPr>
          <w:rFonts w:asciiTheme="majorBid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Pr>
          <w:rFonts w:asciiTheme="majorBidi" w:eastAsiaTheme="minorHAnsi" w:hAnsiTheme="majorBidi" w:cstheme="majorBidi"/>
          <w:color w:val="000000" w:themeColor="text1"/>
          <w:szCs w:val="20"/>
          <w:shd w:val="clear" w:color="auto" w:fill="FFFFFF"/>
          <w:lang w:bidi="ar-SA"/>
        </w:rPr>
        <w:t xml:space="preserve"> 2187 UNTS 90</w:t>
      </w:r>
      <w:r w:rsidRPr="00D4643C">
        <w:rPr>
          <w:rFonts w:asciiTheme="majorBidi" w:eastAsiaTheme="minorHAnsi" w:hAnsiTheme="majorBidi" w:cstheme="majorBidi"/>
          <w:color w:val="000000" w:themeColor="text1"/>
          <w:szCs w:val="20"/>
          <w:shd w:val="clear" w:color="auto" w:fill="FFFFFF"/>
          <w:lang w:bidi="ar-SA"/>
        </w:rPr>
        <w:t xml:space="preserve"> </w:t>
      </w:r>
      <w:r>
        <w:rPr>
          <w:rFonts w:asciiTheme="majorBidi" w:eastAsiaTheme="minorHAnsi" w:hAnsiTheme="majorBidi" w:cstheme="majorBidi"/>
          <w:color w:val="000000" w:themeColor="text1"/>
          <w:szCs w:val="20"/>
          <w:shd w:val="clear" w:color="auto" w:fill="FFFFFF"/>
          <w:lang w:bidi="ar-SA"/>
        </w:rPr>
        <w:t>(entry into force 1 Jul.</w:t>
      </w:r>
      <w:r w:rsidRPr="00D4643C">
        <w:rPr>
          <w:rFonts w:asciiTheme="majorBidi" w:eastAsiaTheme="minorHAnsi" w:hAnsiTheme="majorBidi" w:cstheme="majorBidi"/>
          <w:color w:val="000000" w:themeColor="text1"/>
          <w:szCs w:val="20"/>
          <w:shd w:val="clear" w:color="auto" w:fill="FFFFFF"/>
          <w:lang w:bidi="ar-SA"/>
        </w:rPr>
        <w:t xml:space="preserve"> 2002</w:t>
      </w:r>
      <w:r>
        <w:rPr>
          <w:rFonts w:asciiTheme="majorBidi" w:eastAsiaTheme="minorHAnsi" w:hAnsiTheme="majorBidi" w:cstheme="majorBidi"/>
          <w:color w:val="000000" w:themeColor="text1"/>
          <w:szCs w:val="20"/>
          <w:shd w:val="clear" w:color="auto" w:fill="FFFFFF"/>
          <w:lang w:bidi="ar-SA"/>
        </w:rPr>
        <w:t>)</w:t>
      </w:r>
      <w:r w:rsidRPr="00D4643C">
        <w:rPr>
          <w:rFonts w:asciiTheme="majorBidi" w:eastAsiaTheme="minorHAnsi" w:hAnsiTheme="majorBidi" w:cstheme="majorBidi"/>
          <w:color w:val="000000" w:themeColor="text1"/>
          <w:szCs w:val="20"/>
          <w:shd w:val="clear" w:color="auto" w:fill="FFFFFF"/>
          <w:lang w:bidi="ar-SA"/>
        </w:rPr>
        <w:t>.</w:t>
      </w:r>
      <w:r w:rsidRPr="00D4643C">
        <w:rPr>
          <w:rFonts w:asciiTheme="majorBidi" w:hAnsiTheme="majorBidi" w:cstheme="majorBidi"/>
          <w:color w:val="000000" w:themeColor="text1"/>
          <w:szCs w:val="20"/>
        </w:rPr>
        <w:t xml:space="preserve"> Art. 12(2)(b) of the Statute gives jurisdiction to the ICC if the person accused of the </w:t>
      </w:r>
      <w:r>
        <w:rPr>
          <w:rFonts w:asciiTheme="majorBidi" w:hAnsiTheme="majorBidi" w:cstheme="majorBidi"/>
          <w:color w:val="000000" w:themeColor="text1"/>
          <w:szCs w:val="20"/>
        </w:rPr>
        <w:t>crime is a national of a State p</w:t>
      </w:r>
      <w:r w:rsidRPr="00D4643C">
        <w:rPr>
          <w:rFonts w:asciiTheme="majorBidi" w:hAnsiTheme="majorBidi" w:cstheme="majorBidi"/>
          <w:color w:val="000000" w:themeColor="text1"/>
          <w:szCs w:val="20"/>
        </w:rPr>
        <w:t>arty.</w:t>
      </w:r>
    </w:p>
  </w:footnote>
  <w:footnote w:id="140">
    <w:p w:rsidR="00A7663B" w:rsidRPr="00D4643C" w:rsidRDefault="00A7663B" w:rsidP="00586396">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On 2 Apr.</w:t>
      </w:r>
      <w:r w:rsidRPr="00D4643C">
        <w:rPr>
          <w:rFonts w:asciiTheme="majorBidi" w:hAnsiTheme="majorBidi" w:cstheme="majorBidi"/>
          <w:color w:val="000000" w:themeColor="text1"/>
          <w:szCs w:val="20"/>
        </w:rPr>
        <w:t xml:space="preserve"> 2014, Palestine became party to, among other treaties, the Convention on the Rights of th</w:t>
      </w:r>
      <w:r>
        <w:rPr>
          <w:rFonts w:asciiTheme="majorBidi" w:hAnsiTheme="majorBidi" w:cstheme="majorBidi"/>
          <w:color w:val="000000" w:themeColor="text1"/>
          <w:szCs w:val="20"/>
        </w:rPr>
        <w:t xml:space="preserve">e Child of 20 Nov. 1989, </w:t>
      </w:r>
      <w:r w:rsidRPr="00D4643C">
        <w:rPr>
          <w:rFonts w:asciiTheme="majorBidi" w:hAnsiTheme="majorBidi" w:cstheme="majorBidi"/>
          <w:color w:val="000000" w:themeColor="text1"/>
          <w:szCs w:val="20"/>
        </w:rPr>
        <w:t>1577 UNTS 3</w:t>
      </w:r>
      <w:r>
        <w:rPr>
          <w:rFonts w:asciiTheme="majorBidi" w:hAnsiTheme="majorBidi" w:cstheme="majorBidi"/>
          <w:color w:val="000000" w:themeColor="text1"/>
          <w:szCs w:val="20"/>
        </w:rPr>
        <w:t xml:space="preserve"> (entry into force 2 Sep. 1990)</w:t>
      </w:r>
      <w:r w:rsidRPr="00D4643C">
        <w:rPr>
          <w:rFonts w:asciiTheme="majorBidi" w:hAnsiTheme="majorBidi" w:cstheme="majorBidi"/>
          <w:color w:val="000000" w:themeColor="text1"/>
          <w:szCs w:val="20"/>
        </w:rPr>
        <w:t xml:space="preserve">. As such, Palestine has the right to nominate a Palestinian citizen as a member to the UN Committee on the Rights of the Child in accordance with Art. 43(2) of the said Convention which provides, </w:t>
      </w:r>
      <w:r w:rsidRPr="00D4643C">
        <w:rPr>
          <w:rFonts w:asciiTheme="majorBidi" w:hAnsiTheme="majorBidi" w:cstheme="majorBidi"/>
          <w:i/>
          <w:iCs/>
          <w:color w:val="000000" w:themeColor="text1"/>
          <w:szCs w:val="20"/>
        </w:rPr>
        <w:t>inter alia</w:t>
      </w:r>
      <w:r w:rsidRPr="00D4643C">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shd w:val="clear" w:color="auto" w:fill="FFFFFF"/>
        </w:rPr>
        <w:t xml:space="preserve">that the </w:t>
      </w:r>
      <w:r w:rsidRPr="00D4643C">
        <w:rPr>
          <w:rFonts w:asciiTheme="majorBidi" w:hAnsiTheme="majorBidi" w:cstheme="majorBidi"/>
          <w:color w:val="000000" w:themeColor="text1"/>
          <w:szCs w:val="20"/>
        </w:rPr>
        <w:t>“</w:t>
      </w:r>
      <w:r w:rsidRPr="00D4643C">
        <w:rPr>
          <w:rFonts w:asciiTheme="majorBidi" w:hAnsiTheme="majorBidi" w:cstheme="majorBidi"/>
          <w:color w:val="000000" w:themeColor="text1"/>
          <w:szCs w:val="20"/>
          <w:shd w:val="clear" w:color="auto" w:fill="FFFFFF"/>
        </w:rPr>
        <w:t xml:space="preserve">members of the Committee shall be elected by States Parties from among </w:t>
      </w:r>
      <w:r w:rsidRPr="00D4643C">
        <w:rPr>
          <w:rFonts w:asciiTheme="majorBidi" w:hAnsiTheme="majorBidi" w:cstheme="majorBidi"/>
          <w:i/>
          <w:iCs/>
          <w:color w:val="000000" w:themeColor="text1"/>
          <w:szCs w:val="20"/>
          <w:shd w:val="clear" w:color="auto" w:fill="FFFFFF"/>
        </w:rPr>
        <w:t>their nationals</w:t>
      </w:r>
      <w:r w:rsidRPr="00D4643C">
        <w:rPr>
          <w:rFonts w:asciiTheme="majorBidi" w:hAnsiTheme="majorBidi" w:cstheme="majorBidi"/>
          <w:color w:val="000000" w:themeColor="text1"/>
          <w:szCs w:val="20"/>
        </w:rPr>
        <w:t>” (emphasis added).</w:t>
      </w:r>
    </w:p>
  </w:footnote>
  <w:footnote w:id="141">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It is to be n</w:t>
      </w:r>
      <w:r>
        <w:rPr>
          <w:rFonts w:asciiTheme="majorBidi" w:hAnsiTheme="majorBidi" w:cstheme="majorBidi"/>
          <w:color w:val="000000" w:themeColor="text1"/>
          <w:szCs w:val="20"/>
        </w:rPr>
        <w:t>oted that Palestine, on 3 Aug.</w:t>
      </w:r>
      <w:r w:rsidRPr="00D4643C">
        <w:rPr>
          <w:rFonts w:asciiTheme="majorBidi" w:hAnsiTheme="majorBidi" w:cstheme="majorBidi"/>
          <w:color w:val="000000" w:themeColor="text1"/>
          <w:szCs w:val="20"/>
        </w:rPr>
        <w:t xml:space="preserve"> 2015, submitted an application for full m</w:t>
      </w:r>
      <w:r>
        <w:rPr>
          <w:rFonts w:asciiTheme="majorBidi" w:hAnsiTheme="majorBidi" w:cstheme="majorBidi"/>
          <w:color w:val="000000" w:themeColor="text1"/>
          <w:szCs w:val="20"/>
        </w:rPr>
        <w:t>embership of the INTERPOL as a State p</w:t>
      </w:r>
      <w:r w:rsidRPr="00D4643C">
        <w:rPr>
          <w:rFonts w:asciiTheme="majorBidi" w:hAnsiTheme="majorBidi" w:cstheme="majorBidi"/>
          <w:color w:val="000000" w:themeColor="text1"/>
          <w:szCs w:val="20"/>
        </w:rPr>
        <w:t>arty. This development can be read in the light of Palestine’s accession to the ICC and beyond. Available online at: http:</w:t>
      </w:r>
      <w:r>
        <w:rPr>
          <w:rFonts w:asciiTheme="majorBidi" w:hAnsiTheme="majorBidi" w:cstheme="majorBidi"/>
          <w:color w:val="000000" w:themeColor="text1"/>
          <w:szCs w:val="20"/>
        </w:rPr>
        <w:t>//maannews.net (visited 8 Aug.</w:t>
      </w:r>
      <w:r w:rsidRPr="00D4643C">
        <w:rPr>
          <w:rFonts w:asciiTheme="majorBidi" w:hAnsiTheme="majorBidi" w:cstheme="majorBidi"/>
          <w:color w:val="000000" w:themeColor="text1"/>
          <w:szCs w:val="20"/>
        </w:rPr>
        <w:t xml:space="preserve"> 2015).</w:t>
      </w:r>
    </w:p>
  </w:footnote>
  <w:footnote w:id="142">
    <w:p w:rsidR="00A7663B" w:rsidRPr="00D4643C" w:rsidRDefault="00A7663B" w:rsidP="00D4643C">
      <w:pPr>
        <w:pStyle w:val="FootnoteText"/>
        <w:jc w:val="both"/>
        <w:rPr>
          <w:rFonts w:asciiTheme="majorBidi" w:hAnsiTheme="majorBidi" w:cstheme="majorBidi"/>
          <w:i/>
          <w:iCs/>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Import and export of goods from and into Palestine are restricted based on the Protocol on Economic Relations between Israel and the PLO signed in Paris on 29 Apr. 1994 (33</w:t>
      </w:r>
      <w:r>
        <w:rPr>
          <w:rFonts w:asciiTheme="majorBidi" w:hAnsiTheme="majorBidi" w:cstheme="majorBidi"/>
          <w:i/>
          <w:iCs/>
          <w:color w:val="000000" w:themeColor="text1"/>
          <w:szCs w:val="20"/>
        </w:rPr>
        <w:t xml:space="preserve"> </w:t>
      </w:r>
      <w:r w:rsidRPr="00B04C71">
        <w:rPr>
          <w:rFonts w:asciiTheme="majorBidi" w:hAnsiTheme="majorBidi" w:cstheme="majorBidi"/>
          <w:color w:val="000000" w:themeColor="text1"/>
          <w:szCs w:val="20"/>
        </w:rPr>
        <w:t>ILM</w:t>
      </w:r>
      <w:r w:rsidRPr="00D4643C">
        <w:rPr>
          <w:rFonts w:asciiTheme="majorBidi" w:hAnsiTheme="majorBidi" w:cstheme="majorBidi"/>
          <w:color w:val="000000" w:themeColor="text1"/>
          <w:szCs w:val="20"/>
          <w:shd w:val="clear" w:color="auto" w:fill="FFFFFF"/>
        </w:rPr>
        <w:t>, 1994, 696).</w:t>
      </w:r>
      <w:r w:rsidRPr="00D4643C">
        <w:rPr>
          <w:rFonts w:asciiTheme="majorBidi" w:hAnsiTheme="majorBidi" w:cstheme="majorBidi"/>
          <w:color w:val="000000" w:themeColor="text1"/>
          <w:szCs w:val="20"/>
        </w:rPr>
        <w:t xml:space="preserve"> The Paris Protocol was attached (Annex I</w:t>
      </w:r>
      <w:r w:rsidRPr="00D4643C">
        <w:rPr>
          <w:rFonts w:asciiTheme="majorBidi" w:hAnsiTheme="majorBidi" w:cstheme="majorBidi"/>
          <w:color w:val="000000" w:themeColor="text1"/>
          <w:szCs w:val="20"/>
          <w:lang w:bidi="ar-SA"/>
        </w:rPr>
        <w:t xml:space="preserve">V) </w:t>
      </w:r>
      <w:r w:rsidRPr="00D4643C">
        <w:rPr>
          <w:rFonts w:asciiTheme="majorBidi" w:hAnsiTheme="majorBidi" w:cstheme="majorBidi"/>
          <w:color w:val="000000" w:themeColor="text1"/>
          <w:szCs w:val="20"/>
        </w:rPr>
        <w:t>to Oslo II.</w:t>
      </w:r>
    </w:p>
  </w:footnote>
  <w:footnote w:id="143">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F.A. Mann, “The Effect of Changes of Sovereignty upon Nationality”,</w:t>
      </w:r>
      <w:r w:rsidRPr="00D4643C">
        <w:rPr>
          <w:rFonts w:asciiTheme="majorBidi" w:hAnsiTheme="majorBidi" w:cstheme="majorBidi"/>
          <w:i/>
          <w:iCs/>
          <w:color w:val="000000" w:themeColor="text1"/>
          <w:szCs w:val="20"/>
        </w:rPr>
        <w:t xml:space="preserve"> Modern Law Review</w:t>
      </w:r>
      <w:r>
        <w:rPr>
          <w:rFonts w:asciiTheme="majorBidi" w:hAnsiTheme="majorBidi" w:cstheme="majorBidi"/>
          <w:color w:val="000000" w:themeColor="text1"/>
          <w:szCs w:val="20"/>
        </w:rPr>
        <w:t>, 5, 1942, 218-</w:t>
      </w:r>
      <w:r w:rsidRPr="00D4643C">
        <w:rPr>
          <w:rFonts w:asciiTheme="majorBidi" w:hAnsiTheme="majorBidi" w:cstheme="majorBidi"/>
          <w:color w:val="000000" w:themeColor="text1"/>
          <w:szCs w:val="20"/>
        </w:rPr>
        <w:t xml:space="preserve">224; D.P. O’Connell, </w:t>
      </w:r>
      <w:r w:rsidRPr="00D4643C">
        <w:rPr>
          <w:rFonts w:asciiTheme="majorBidi" w:hAnsiTheme="majorBidi" w:cstheme="majorBidi"/>
          <w:i/>
          <w:iCs/>
          <w:color w:val="000000" w:themeColor="text1"/>
          <w:szCs w:val="20"/>
        </w:rPr>
        <w:t>State Succession in Municipal Law and International Law</w:t>
      </w:r>
      <w:r w:rsidRPr="00D4643C">
        <w:rPr>
          <w:rFonts w:asciiTheme="majorBidi" w:hAnsiTheme="majorBidi" w:cstheme="majorBidi"/>
          <w:color w:val="000000" w:themeColor="text1"/>
          <w:szCs w:val="20"/>
        </w:rPr>
        <w:t>,</w:t>
      </w:r>
      <w:r w:rsidRPr="00D4643C">
        <w:rPr>
          <w:rFonts w:asciiTheme="majorBidi" w:hAnsiTheme="majorBidi" w:cstheme="majorBidi"/>
          <w:color w:val="000000" w:themeColor="text1"/>
          <w:szCs w:val="20"/>
          <w:lang w:bidi="ar-SA"/>
        </w:rPr>
        <w:t xml:space="preserve"> </w:t>
      </w:r>
      <w:r>
        <w:rPr>
          <w:rFonts w:asciiTheme="majorBidi" w:hAnsiTheme="majorBidi" w:cstheme="majorBidi"/>
          <w:color w:val="000000" w:themeColor="text1"/>
          <w:szCs w:val="20"/>
        </w:rPr>
        <w:t xml:space="preserve">London, </w:t>
      </w:r>
      <w:r w:rsidRPr="00D4643C">
        <w:rPr>
          <w:rFonts w:asciiTheme="majorBidi" w:hAnsiTheme="majorBidi" w:cstheme="majorBidi"/>
          <w:color w:val="000000" w:themeColor="text1"/>
          <w:szCs w:val="20"/>
        </w:rPr>
        <w:t>Cambridge Univ</w:t>
      </w:r>
      <w:r>
        <w:rPr>
          <w:rFonts w:asciiTheme="majorBidi" w:hAnsiTheme="majorBidi" w:cstheme="majorBidi"/>
          <w:color w:val="000000" w:themeColor="text1"/>
          <w:szCs w:val="20"/>
        </w:rPr>
        <w:t>ersity Press, 1967,</w:t>
      </w:r>
      <w:r w:rsidRPr="00D4643C">
        <w:rPr>
          <w:rFonts w:asciiTheme="majorBidi" w:hAnsiTheme="majorBidi" w:cstheme="majorBidi"/>
          <w:color w:val="000000" w:themeColor="text1"/>
          <w:szCs w:val="20"/>
        </w:rPr>
        <w:t xml:space="preserve"> I, 497-542; Y. </w:t>
      </w:r>
      <w:proofErr w:type="spellStart"/>
      <w:r w:rsidRPr="00D4643C">
        <w:rPr>
          <w:rFonts w:asciiTheme="majorBidi" w:hAnsiTheme="majorBidi" w:cstheme="majorBidi"/>
          <w:color w:val="000000" w:themeColor="text1"/>
          <w:szCs w:val="20"/>
        </w:rPr>
        <w:t>Onuma</w:t>
      </w:r>
      <w:proofErr w:type="spellEnd"/>
      <w:r w:rsidRPr="00D4643C">
        <w:rPr>
          <w:rFonts w:asciiTheme="majorBidi" w:hAnsiTheme="majorBidi" w:cstheme="majorBidi"/>
          <w:color w:val="000000" w:themeColor="text1"/>
          <w:szCs w:val="20"/>
        </w:rPr>
        <w:t xml:space="preserve">, “Nationality and Territorial Change: In Search of the State of the Law”, </w:t>
      </w:r>
      <w:r w:rsidRPr="00D4643C">
        <w:rPr>
          <w:rFonts w:asciiTheme="majorBidi" w:hAnsiTheme="majorBidi" w:cstheme="majorBidi"/>
          <w:i/>
          <w:iCs/>
          <w:color w:val="000000" w:themeColor="text1"/>
          <w:szCs w:val="20"/>
        </w:rPr>
        <w:t>Yale Journal of World Public Order</w:t>
      </w:r>
      <w:r w:rsidRPr="00D4643C">
        <w:rPr>
          <w:rFonts w:asciiTheme="majorBidi" w:hAnsiTheme="majorBidi" w:cstheme="majorBidi"/>
          <w:color w:val="000000" w:themeColor="text1"/>
          <w:szCs w:val="20"/>
        </w:rPr>
        <w:t xml:space="preserve">, 8, 1982, 1-35; C.L. </w:t>
      </w:r>
      <w:proofErr w:type="spellStart"/>
      <w:r w:rsidRPr="00D4643C">
        <w:rPr>
          <w:rFonts w:asciiTheme="majorBidi" w:hAnsiTheme="majorBidi" w:cstheme="majorBidi"/>
          <w:color w:val="000000" w:themeColor="text1"/>
          <w:szCs w:val="20"/>
        </w:rPr>
        <w:t>Gettys</w:t>
      </w:r>
      <w:proofErr w:type="spellEnd"/>
      <w:r w:rsidRPr="00D4643C">
        <w:rPr>
          <w:rFonts w:asciiTheme="majorBidi" w:hAnsiTheme="majorBidi" w:cstheme="majorBidi"/>
          <w:color w:val="000000" w:themeColor="text1"/>
          <w:szCs w:val="20"/>
        </w:rPr>
        <w:t>, “The Effects of Change of Sovereignty on Nationality”,</w:t>
      </w:r>
      <w:r w:rsidRPr="00D4643C">
        <w:rPr>
          <w:rFonts w:asciiTheme="majorBidi" w:hAnsiTheme="majorBidi" w:cstheme="majorBidi"/>
          <w:i/>
          <w:iCs/>
          <w:color w:val="000000" w:themeColor="text1"/>
          <w:szCs w:val="20"/>
        </w:rPr>
        <w:t xml:space="preserve"> American Journal of International Law</w:t>
      </w:r>
      <w:r w:rsidRPr="00D4643C">
        <w:rPr>
          <w:rFonts w:asciiTheme="majorBidi" w:hAnsiTheme="majorBidi" w:cstheme="majorBidi"/>
          <w:color w:val="000000" w:themeColor="text1"/>
          <w:szCs w:val="20"/>
        </w:rPr>
        <w:t xml:space="preserve">, 21, 1992, 268-278; J.L. Blackman, “State Succession and Statelessness: The Emerging Right to an Effective Nationality under International Law”, </w:t>
      </w:r>
      <w:r w:rsidRPr="00D4643C">
        <w:rPr>
          <w:rFonts w:asciiTheme="majorBidi" w:hAnsiTheme="majorBidi" w:cstheme="majorBidi"/>
          <w:i/>
          <w:iCs/>
          <w:color w:val="000000" w:themeColor="text1"/>
          <w:szCs w:val="20"/>
        </w:rPr>
        <w:t>Michigan Journal of International Law</w:t>
      </w:r>
      <w:r w:rsidRPr="00D4643C">
        <w:rPr>
          <w:rFonts w:asciiTheme="majorBidi" w:hAnsiTheme="majorBidi" w:cstheme="majorBidi"/>
          <w:color w:val="000000" w:themeColor="text1"/>
          <w:szCs w:val="20"/>
        </w:rPr>
        <w:t>, 19, 1998, 1160-1161.</w:t>
      </w:r>
    </w:p>
  </w:footnote>
  <w:footnote w:id="144">
    <w:p w:rsidR="00A7663B" w:rsidRPr="00D4643C" w:rsidRDefault="00A7663B" w:rsidP="00D4643C">
      <w:pPr>
        <w:pStyle w:val="FootnoteText"/>
        <w:jc w:val="both"/>
        <w:rPr>
          <w:rFonts w:asciiTheme="majorBid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United Nations General Assembly, </w:t>
      </w:r>
      <w:r w:rsidRPr="00D4643C">
        <w:rPr>
          <w:rFonts w:asciiTheme="majorBidi" w:hAnsiTheme="majorBidi" w:cstheme="majorBidi"/>
          <w:i/>
          <w:iCs/>
          <w:color w:val="000000" w:themeColor="text1"/>
          <w:szCs w:val="20"/>
        </w:rPr>
        <w:t>Nationality of Natural Persons in Relation to the Succession of States</w:t>
      </w:r>
      <w:r w:rsidRPr="00D4643C">
        <w:rPr>
          <w:rFonts w:asciiTheme="majorBidi" w:hAnsiTheme="majorBidi" w:cstheme="majorBidi"/>
          <w:color w:val="000000" w:themeColor="text1"/>
          <w:szCs w:val="20"/>
          <w:lang w:bidi="ar-SA"/>
        </w:rPr>
        <w:t xml:space="preserve">, UN Doc. </w:t>
      </w:r>
      <w:r w:rsidRPr="00D4643C">
        <w:rPr>
          <w:rFonts w:asciiTheme="majorBidi" w:hAnsiTheme="majorBidi" w:cstheme="majorBidi"/>
          <w:color w:val="000000" w:themeColor="text1"/>
          <w:szCs w:val="20"/>
        </w:rPr>
        <w:t>A/RES/55/153</w:t>
      </w:r>
      <w:r w:rsidRPr="00D4643C">
        <w:rPr>
          <w:rFonts w:asciiTheme="majorBidi" w:hAnsiTheme="majorBidi" w:cstheme="majorBidi"/>
          <w:color w:val="000000" w:themeColor="text1"/>
          <w:szCs w:val="20"/>
          <w:lang w:bidi="ar-SA"/>
        </w:rPr>
        <w:t>, 10 Jan. 2001 (Annex).</w:t>
      </w:r>
    </w:p>
  </w:footnote>
  <w:footnote w:id="145">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Art. 1 of the Draft Articles reads as follows: “Every individual who, on the date of the succession of States, had the nationality of the predecessor State, irrespective of the mode of acquisition of that nationality, has the right to the nationality of at least one of the States concerned […]”.</w:t>
      </w:r>
    </w:p>
  </w:footnote>
  <w:footnote w:id="146">
    <w:p w:rsidR="00A7663B" w:rsidRPr="00D4643C" w:rsidRDefault="00A7663B" w:rsidP="00D4643C">
      <w:pPr>
        <w:pStyle w:val="FootnoteText"/>
        <w:jc w:val="both"/>
        <w:rPr>
          <w:rFonts w:asciiTheme="majorBid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According to the Israeli Central Bureau of Statistics, the number of Palestinians in East Jerusalem amounts to 288,900 persons at the end of 2009 (</w:t>
      </w:r>
      <w:r w:rsidRPr="00D4643C">
        <w:rPr>
          <w:rFonts w:asciiTheme="majorBidi" w:hAnsiTheme="majorBidi" w:cstheme="majorBidi"/>
          <w:i/>
          <w:iCs/>
          <w:color w:val="000000" w:themeColor="text1"/>
          <w:szCs w:val="20"/>
        </w:rPr>
        <w:t>Statistical Abstract of Israel 2010</w:t>
      </w:r>
      <w:r w:rsidRPr="00D4643C">
        <w:rPr>
          <w:rFonts w:asciiTheme="majorBidi" w:hAnsiTheme="majorBidi" w:cstheme="majorBidi"/>
          <w:color w:val="000000" w:themeColor="text1"/>
          <w:szCs w:val="20"/>
        </w:rPr>
        <w:t xml:space="preserve"> (2010), 99). This number comes out of the calculation of the number of Muslims and Christians in Jerusalem, who form the Palestinians of East Jerusalem. </w:t>
      </w:r>
      <w:r w:rsidRPr="00D4643C">
        <w:rPr>
          <w:rFonts w:asciiTheme="majorBidi" w:hAnsiTheme="majorBidi" w:cstheme="majorBidi"/>
          <w:color w:val="000000" w:themeColor="text1"/>
          <w:szCs w:val="20"/>
          <w:lang w:bidi="ar-SA"/>
        </w:rPr>
        <w:t>Taking into account the annual population i</w:t>
      </w:r>
      <w:r>
        <w:rPr>
          <w:rFonts w:asciiTheme="majorBidi" w:hAnsiTheme="majorBidi" w:cstheme="majorBidi"/>
          <w:color w:val="000000" w:themeColor="text1"/>
          <w:szCs w:val="20"/>
          <w:lang w:bidi="ar-SA"/>
        </w:rPr>
        <w:t>ncrease of 2.59 per cent for fiv</w:t>
      </w:r>
      <w:r w:rsidRPr="00D4643C">
        <w:rPr>
          <w:rFonts w:asciiTheme="majorBidi" w:hAnsiTheme="majorBidi" w:cstheme="majorBidi"/>
          <w:color w:val="000000" w:themeColor="text1"/>
          <w:szCs w:val="20"/>
          <w:lang w:bidi="ar-SA"/>
        </w:rPr>
        <w:t xml:space="preserve">e years (2010-2014) in the West Bank (PCBS, </w:t>
      </w:r>
      <w:r w:rsidRPr="00D4643C">
        <w:rPr>
          <w:rFonts w:asciiTheme="majorBidi" w:hAnsiTheme="majorBidi" w:cstheme="majorBidi"/>
          <w:i/>
          <w:iCs/>
          <w:color w:val="000000" w:themeColor="text1"/>
          <w:szCs w:val="20"/>
        </w:rPr>
        <w:t>Palestin</w:t>
      </w:r>
      <w:r>
        <w:rPr>
          <w:rFonts w:asciiTheme="majorBidi" w:hAnsiTheme="majorBidi" w:cstheme="majorBidi"/>
          <w:i/>
          <w:iCs/>
          <w:color w:val="000000" w:themeColor="text1"/>
          <w:szCs w:val="20"/>
        </w:rPr>
        <w:t>ians</w:t>
      </w:r>
      <w:r>
        <w:rPr>
          <w:rFonts w:asciiTheme="majorBidi" w:hAnsiTheme="majorBidi" w:cstheme="majorBidi"/>
          <w:color w:val="000000" w:themeColor="text1"/>
          <w:szCs w:val="20"/>
          <w:lang w:bidi="ar-SA"/>
        </w:rPr>
        <w:t xml:space="preserve">, </w:t>
      </w:r>
      <w:r w:rsidRPr="00D4643C">
        <w:rPr>
          <w:rFonts w:asciiTheme="majorBidi" w:hAnsiTheme="majorBidi" w:cstheme="majorBidi"/>
          <w:color w:val="000000" w:themeColor="text1"/>
          <w:szCs w:val="20"/>
          <w:lang w:bidi="ar-SA"/>
        </w:rPr>
        <w:t xml:space="preserve">above </w:t>
      </w:r>
      <w:r>
        <w:rPr>
          <w:rFonts w:asciiTheme="majorBidi" w:hAnsiTheme="majorBidi" w:cstheme="majorBidi"/>
          <w:color w:val="000000" w:themeColor="text1"/>
          <w:szCs w:val="20"/>
          <w:lang w:bidi="ar-SA"/>
        </w:rPr>
        <w:t>footnote 14</w:t>
      </w:r>
      <w:r w:rsidRPr="00D4643C">
        <w:rPr>
          <w:rFonts w:asciiTheme="majorBidi" w:hAnsiTheme="majorBidi" w:cstheme="majorBidi"/>
          <w:color w:val="000000" w:themeColor="text1"/>
          <w:szCs w:val="20"/>
          <w:lang w:bidi="ar-SA"/>
        </w:rPr>
        <w:t xml:space="preserve">, 25), which could roughly </w:t>
      </w:r>
      <w:r>
        <w:rPr>
          <w:rFonts w:asciiTheme="majorBidi" w:hAnsiTheme="majorBidi" w:cstheme="majorBidi"/>
          <w:color w:val="000000" w:themeColor="text1"/>
          <w:szCs w:val="20"/>
          <w:lang w:bidi="ar-SA"/>
        </w:rPr>
        <w:t xml:space="preserve">be </w:t>
      </w:r>
      <w:r w:rsidRPr="00D4643C">
        <w:rPr>
          <w:rFonts w:asciiTheme="majorBidi" w:hAnsiTheme="majorBidi" w:cstheme="majorBidi"/>
          <w:color w:val="000000" w:themeColor="text1"/>
          <w:szCs w:val="20"/>
          <w:lang w:bidi="ar-SA"/>
        </w:rPr>
        <w:t xml:space="preserve">similar in East Jerusalem, thus </w:t>
      </w:r>
      <w:r>
        <w:rPr>
          <w:rFonts w:asciiTheme="majorBidi" w:hAnsiTheme="majorBidi" w:cstheme="majorBidi"/>
          <w:color w:val="000000" w:themeColor="text1"/>
          <w:szCs w:val="20"/>
          <w:lang w:bidi="ar-SA"/>
        </w:rPr>
        <w:t>the above figure of 320,000 (as</w:t>
      </w:r>
      <w:r w:rsidRPr="00D4643C">
        <w:rPr>
          <w:rFonts w:asciiTheme="majorBidi" w:hAnsiTheme="majorBidi" w:cstheme="majorBidi"/>
          <w:color w:val="000000" w:themeColor="text1"/>
          <w:szCs w:val="20"/>
          <w:lang w:bidi="ar-SA"/>
        </w:rPr>
        <w:t xml:space="preserve"> calculated by the </w:t>
      </w:r>
      <w:r>
        <w:rPr>
          <w:rFonts w:asciiTheme="majorBidi" w:hAnsiTheme="majorBidi" w:cstheme="majorBidi"/>
          <w:color w:val="000000" w:themeColor="text1"/>
          <w:szCs w:val="20"/>
          <w:lang w:bidi="ar-SA"/>
        </w:rPr>
        <w:t>writer</w:t>
      </w:r>
      <w:r w:rsidRPr="00D4643C">
        <w:rPr>
          <w:rFonts w:asciiTheme="majorBidi" w:hAnsiTheme="majorBidi" w:cstheme="majorBidi"/>
          <w:color w:val="000000" w:themeColor="text1"/>
          <w:szCs w:val="20"/>
          <w:lang w:bidi="ar-SA"/>
        </w:rPr>
        <w:t>).</w:t>
      </w:r>
    </w:p>
  </w:footnote>
  <w:footnote w:id="14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United Nations, </w:t>
      </w:r>
      <w:r w:rsidRPr="00D4643C">
        <w:rPr>
          <w:rFonts w:asciiTheme="majorBidi" w:hAnsiTheme="majorBidi" w:cstheme="majorBidi"/>
          <w:i/>
          <w:iCs/>
          <w:color w:val="000000" w:themeColor="text1"/>
          <w:szCs w:val="20"/>
        </w:rPr>
        <w:t>Laws Concerning Nationality</w:t>
      </w:r>
      <w:r w:rsidRPr="00D4643C">
        <w:rPr>
          <w:rFonts w:asciiTheme="majorBidi" w:hAnsiTheme="majorBidi" w:cstheme="majorBidi"/>
          <w:color w:val="000000" w:themeColor="text1"/>
          <w:szCs w:val="20"/>
        </w:rPr>
        <w:t xml:space="preserve">, above </w:t>
      </w:r>
      <w:r>
        <w:rPr>
          <w:rFonts w:asciiTheme="majorBidi" w:hAnsiTheme="majorBidi" w:cstheme="majorBidi"/>
          <w:color w:val="000000" w:themeColor="text1"/>
          <w:szCs w:val="20"/>
        </w:rPr>
        <w:t>footnote 31</w:t>
      </w:r>
      <w:r w:rsidRPr="00D4643C">
        <w:rPr>
          <w:rFonts w:asciiTheme="majorBidi" w:hAnsiTheme="majorBidi" w:cstheme="majorBidi"/>
          <w:color w:val="000000" w:themeColor="text1"/>
          <w:szCs w:val="20"/>
        </w:rPr>
        <w:t>, 263.</w:t>
      </w:r>
    </w:p>
  </w:footnote>
  <w:footnote w:id="14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Palestine Partition Commission, </w:t>
      </w:r>
      <w:r w:rsidRPr="00D4643C">
        <w:rPr>
          <w:rFonts w:asciiTheme="majorBidi" w:hAnsiTheme="majorBidi" w:cstheme="majorBidi"/>
          <w:i/>
          <w:iCs/>
          <w:color w:val="000000" w:themeColor="text1"/>
          <w:szCs w:val="20"/>
        </w:rPr>
        <w:t>Report Presented by the Secretary of State for Colonies to Parliament by Command of His Majesty</w:t>
      </w:r>
      <w:r>
        <w:rPr>
          <w:rFonts w:asciiTheme="majorBidi" w:hAnsiTheme="majorBidi" w:cstheme="majorBidi"/>
          <w:color w:val="000000" w:themeColor="text1"/>
          <w:szCs w:val="20"/>
        </w:rPr>
        <w:t>, Oct.</w:t>
      </w:r>
      <w:r w:rsidRPr="00D4643C">
        <w:rPr>
          <w:rFonts w:asciiTheme="majorBidi" w:hAnsiTheme="majorBidi" w:cstheme="majorBidi"/>
          <w:color w:val="000000" w:themeColor="text1"/>
          <w:szCs w:val="20"/>
        </w:rPr>
        <w:t xml:space="preserve"> 1938, </w:t>
      </w:r>
      <w:r>
        <w:rPr>
          <w:rFonts w:asciiTheme="majorBidi" w:hAnsiTheme="majorBidi" w:cstheme="majorBidi"/>
          <w:color w:val="000000" w:themeColor="text1"/>
          <w:szCs w:val="20"/>
        </w:rPr>
        <w:t xml:space="preserve">London, </w:t>
      </w:r>
      <w:r w:rsidRPr="00D4643C">
        <w:rPr>
          <w:rFonts w:asciiTheme="majorBidi" w:hAnsiTheme="majorBidi" w:cstheme="majorBidi"/>
          <w:color w:val="000000" w:themeColor="text1"/>
          <w:szCs w:val="20"/>
        </w:rPr>
        <w:t>His M</w:t>
      </w:r>
      <w:r>
        <w:rPr>
          <w:rFonts w:asciiTheme="majorBidi" w:hAnsiTheme="majorBidi" w:cstheme="majorBidi"/>
          <w:color w:val="000000" w:themeColor="text1"/>
          <w:szCs w:val="20"/>
        </w:rPr>
        <w:t>ajesty Stationary Office</w:t>
      </w:r>
      <w:r w:rsidRPr="00D4643C">
        <w:rPr>
          <w:rFonts w:asciiTheme="majorBidi" w:hAnsiTheme="majorBidi" w:cstheme="majorBidi"/>
          <w:color w:val="000000" w:themeColor="text1"/>
          <w:szCs w:val="20"/>
        </w:rPr>
        <w:t xml:space="preserve">, 1938. </w:t>
      </w:r>
    </w:p>
  </w:footnote>
  <w:footnote w:id="149">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United Nations General Assembly, </w:t>
      </w:r>
      <w:r w:rsidRPr="00D4643C">
        <w:rPr>
          <w:rFonts w:asciiTheme="majorBidi" w:hAnsiTheme="majorBidi" w:cstheme="majorBidi"/>
          <w:i/>
          <w:iCs/>
          <w:color w:val="000000" w:themeColor="text1"/>
          <w:szCs w:val="20"/>
          <w:shd w:val="clear" w:color="auto" w:fill="FFFFFF"/>
        </w:rPr>
        <w:t>Future Government of Palestine</w:t>
      </w:r>
      <w:r w:rsidRPr="00D4643C">
        <w:rPr>
          <w:rFonts w:asciiTheme="majorBidi" w:hAnsiTheme="majorBidi" w:cstheme="majorBidi"/>
          <w:color w:val="000000" w:themeColor="text1"/>
          <w:szCs w:val="20"/>
        </w:rPr>
        <w:t xml:space="preserve">, UN Doc. A/RES/181(II), 29 Nov. 1947. </w:t>
      </w:r>
    </w:p>
  </w:footnote>
  <w:footnote w:id="150">
    <w:p w:rsidR="00A7663B" w:rsidRPr="00D4643C" w:rsidRDefault="00A7663B" w:rsidP="00C25664">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Ibid.</w:t>
      </w:r>
      <w:r w:rsidRPr="00D4643C">
        <w:rPr>
          <w:rFonts w:asciiTheme="majorBidi" w:hAnsiTheme="majorBidi" w:cstheme="majorBidi"/>
          <w:color w:val="000000" w:themeColor="text1"/>
          <w:szCs w:val="20"/>
        </w:rPr>
        <w:t>, Section B, Part III.</w:t>
      </w:r>
    </w:p>
  </w:footnote>
  <w:footnote w:id="151">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Ibid.</w:t>
      </w:r>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para</w:t>
      </w:r>
      <w:proofErr w:type="spellEnd"/>
      <w:r w:rsidRPr="00D4643C">
        <w:rPr>
          <w:rFonts w:asciiTheme="majorBidi" w:hAnsiTheme="majorBidi" w:cstheme="majorBidi"/>
          <w:color w:val="000000" w:themeColor="text1"/>
          <w:szCs w:val="20"/>
        </w:rPr>
        <w:t>. 11.</w:t>
      </w:r>
    </w:p>
  </w:footnote>
  <w:footnote w:id="15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Ibid.</w:t>
      </w:r>
    </w:p>
  </w:footnote>
  <w:footnote w:id="153">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Government of Palestine, </w:t>
      </w:r>
      <w:r w:rsidRPr="00D4643C">
        <w:rPr>
          <w:rFonts w:asciiTheme="majorBidi" w:hAnsiTheme="majorBidi" w:cstheme="majorBidi"/>
          <w:i/>
          <w:iCs/>
          <w:color w:val="000000" w:themeColor="text1"/>
          <w:szCs w:val="20"/>
        </w:rPr>
        <w:t>Survey of Palestine</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 xml:space="preserve">Jerusalem, </w:t>
      </w:r>
      <w:r w:rsidRPr="00D4643C">
        <w:rPr>
          <w:rFonts w:asciiTheme="majorBidi" w:hAnsiTheme="majorBidi" w:cstheme="majorBidi"/>
          <w:color w:val="000000" w:themeColor="text1"/>
          <w:szCs w:val="20"/>
        </w:rPr>
        <w:t>Governmen</w:t>
      </w:r>
      <w:r>
        <w:rPr>
          <w:rFonts w:asciiTheme="majorBidi" w:hAnsiTheme="majorBidi" w:cstheme="majorBidi"/>
          <w:color w:val="000000" w:themeColor="text1"/>
          <w:szCs w:val="20"/>
        </w:rPr>
        <w:t>t Printer, 1946,</w:t>
      </w:r>
      <w:r w:rsidRPr="00D4643C">
        <w:rPr>
          <w:rFonts w:asciiTheme="majorBidi" w:hAnsiTheme="majorBidi" w:cstheme="majorBidi"/>
          <w:color w:val="000000" w:themeColor="text1"/>
          <w:szCs w:val="20"/>
        </w:rPr>
        <w:t xml:space="preserve"> I, 152.</w:t>
      </w:r>
    </w:p>
  </w:footnote>
  <w:footnote w:id="154">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P. </w:t>
      </w:r>
      <w:proofErr w:type="spellStart"/>
      <w:r w:rsidRPr="00D4643C">
        <w:rPr>
          <w:rFonts w:asciiTheme="majorBidi" w:eastAsiaTheme="minorHAnsi" w:hAnsiTheme="majorBidi" w:cstheme="majorBidi"/>
          <w:color w:val="000000" w:themeColor="text1"/>
          <w:szCs w:val="20"/>
          <w:lang w:bidi="he-IL"/>
        </w:rPr>
        <w:t>Mohn</w:t>
      </w:r>
      <w:proofErr w:type="spellEnd"/>
      <w:r w:rsidRPr="00D4643C">
        <w:rPr>
          <w:rFonts w:asciiTheme="majorBidi" w:eastAsiaTheme="minorHAnsi" w:hAnsiTheme="majorBidi" w:cstheme="majorBidi"/>
          <w:color w:val="000000" w:themeColor="text1"/>
          <w:szCs w:val="20"/>
          <w:lang w:bidi="he-IL"/>
        </w:rPr>
        <w:t xml:space="preserve">, </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Jerusalem and the United Nations</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hAnsiTheme="majorBidi" w:cstheme="majorBidi"/>
          <w:color w:val="000000" w:themeColor="text1"/>
          <w:szCs w:val="20"/>
          <w:shd w:val="clear" w:color="auto" w:fill="FFFFFF"/>
        </w:rPr>
        <w:t> </w:t>
      </w:r>
      <w:r w:rsidRPr="00D4643C">
        <w:rPr>
          <w:rFonts w:asciiTheme="majorBidi" w:hAnsiTheme="majorBidi" w:cstheme="majorBidi"/>
          <w:i/>
          <w:iCs/>
          <w:color w:val="000000" w:themeColor="text1"/>
          <w:szCs w:val="20"/>
        </w:rPr>
        <w:t>International Conciliation</w:t>
      </w:r>
      <w:r>
        <w:rPr>
          <w:rFonts w:asciiTheme="majorBidi" w:hAnsiTheme="majorBidi" w:cstheme="majorBidi"/>
          <w:color w:val="000000" w:themeColor="text1"/>
          <w:szCs w:val="20"/>
          <w:shd w:val="clear" w:color="auto" w:fill="FFFFFF"/>
        </w:rPr>
        <w:t xml:space="preserve">, </w:t>
      </w:r>
      <w:r w:rsidRPr="00D4643C">
        <w:rPr>
          <w:rFonts w:asciiTheme="majorBidi" w:hAnsiTheme="majorBidi" w:cstheme="majorBidi"/>
          <w:color w:val="000000" w:themeColor="text1"/>
          <w:szCs w:val="20"/>
          <w:shd w:val="clear" w:color="auto" w:fill="FFFFFF"/>
        </w:rPr>
        <w:t>28, 1950, 425-474.</w:t>
      </w:r>
    </w:p>
  </w:footnote>
  <w:footnote w:id="155">
    <w:p w:rsidR="00A7663B" w:rsidRPr="00D4643C" w:rsidRDefault="00A7663B" w:rsidP="00C25664">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J. Robinson, </w:t>
      </w:r>
      <w:r w:rsidRPr="00D4643C">
        <w:rPr>
          <w:rFonts w:asciiTheme="majorBidi" w:hAnsiTheme="majorBidi" w:cstheme="majorBidi"/>
          <w:i/>
          <w:iCs/>
          <w:color w:val="000000" w:themeColor="text1"/>
          <w:szCs w:val="20"/>
        </w:rPr>
        <w:t>Palestine and the United Nations: Prelude to Solution</w:t>
      </w:r>
      <w:r w:rsidRPr="00D4643C">
        <w:rPr>
          <w:rFonts w:asciiTheme="majorBidi" w:hAnsiTheme="majorBidi" w:cstheme="majorBidi"/>
          <w:color w:val="000000" w:themeColor="text1"/>
          <w:szCs w:val="20"/>
        </w:rPr>
        <w:t>, Washington, D.C.</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Public Aff</w:t>
      </w:r>
      <w:r>
        <w:rPr>
          <w:rFonts w:asciiTheme="majorBidi" w:hAnsiTheme="majorBidi" w:cstheme="majorBidi"/>
          <w:color w:val="000000" w:themeColor="text1"/>
          <w:szCs w:val="20"/>
        </w:rPr>
        <w:t>airs Press</w:t>
      </w:r>
      <w:r w:rsidRPr="00D4643C">
        <w:rPr>
          <w:rFonts w:asciiTheme="majorBidi" w:hAnsiTheme="majorBidi" w:cstheme="majorBidi"/>
          <w:color w:val="000000" w:themeColor="text1"/>
          <w:szCs w:val="20"/>
        </w:rPr>
        <w:t xml:space="preserve">, 1947; C. </w:t>
      </w:r>
      <w:proofErr w:type="spellStart"/>
      <w:r w:rsidRPr="00D4643C">
        <w:rPr>
          <w:rFonts w:asciiTheme="majorBidi" w:hAnsiTheme="majorBidi" w:cstheme="majorBidi"/>
          <w:color w:val="000000" w:themeColor="text1"/>
          <w:szCs w:val="20"/>
        </w:rPr>
        <w:t>Eagifton</w:t>
      </w:r>
      <w:proofErr w:type="spellEnd"/>
      <w:r w:rsidRPr="00D4643C">
        <w:rPr>
          <w:rFonts w:asciiTheme="majorBidi" w:hAnsiTheme="majorBidi" w:cstheme="majorBidi"/>
          <w:color w:val="000000" w:themeColor="text1"/>
          <w:szCs w:val="20"/>
        </w:rPr>
        <w:t xml:space="preserve">, “Palestine and the Constitutional Law of the United Nations”, </w:t>
      </w:r>
      <w:r w:rsidRPr="00D4643C">
        <w:rPr>
          <w:rFonts w:asciiTheme="majorBidi" w:hAnsiTheme="majorBidi" w:cstheme="majorBidi"/>
          <w:i/>
          <w:iCs/>
          <w:color w:val="000000" w:themeColor="text1"/>
          <w:szCs w:val="20"/>
        </w:rPr>
        <w:t>American Journal of International Law</w:t>
      </w:r>
      <w:r w:rsidRPr="00D4643C">
        <w:rPr>
          <w:rFonts w:asciiTheme="majorBidi" w:hAnsiTheme="majorBidi" w:cstheme="majorBidi"/>
          <w:color w:val="000000" w:themeColor="text1"/>
          <w:szCs w:val="20"/>
        </w:rPr>
        <w:t xml:space="preserve">, 42, 1948, 397-399; J. </w:t>
      </w:r>
      <w:proofErr w:type="spellStart"/>
      <w:r w:rsidRPr="00D4643C">
        <w:rPr>
          <w:rFonts w:asciiTheme="majorBidi" w:hAnsiTheme="majorBidi" w:cstheme="majorBidi"/>
          <w:color w:val="000000" w:themeColor="text1"/>
          <w:szCs w:val="20"/>
        </w:rPr>
        <w:t>Zasloff</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Great Britain and Palestine: A Study of the Problem of Palestine before the United Nations</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 xml:space="preserve">Geneva, </w:t>
      </w:r>
      <w:r w:rsidRPr="00D4643C">
        <w:rPr>
          <w:rFonts w:asciiTheme="majorBidi" w:hAnsiTheme="majorBidi" w:cstheme="majorBidi"/>
          <w:color w:val="000000" w:themeColor="text1"/>
          <w:szCs w:val="20"/>
        </w:rPr>
        <w:t xml:space="preserve">Graduate Institute </w:t>
      </w:r>
      <w:r>
        <w:rPr>
          <w:rFonts w:asciiTheme="majorBidi" w:hAnsiTheme="majorBidi" w:cstheme="majorBidi"/>
          <w:color w:val="000000" w:themeColor="text1"/>
          <w:szCs w:val="20"/>
        </w:rPr>
        <w:t>of International Studies</w:t>
      </w:r>
      <w:r w:rsidRPr="00D4643C">
        <w:rPr>
          <w:rFonts w:asciiTheme="majorBidi" w:hAnsiTheme="majorBidi" w:cstheme="majorBidi"/>
          <w:color w:val="000000" w:themeColor="text1"/>
          <w:szCs w:val="20"/>
        </w:rPr>
        <w:t>, 1952 (Ph.D. thesis)</w:t>
      </w:r>
    </w:p>
  </w:footnote>
  <w:footnote w:id="156">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S.F.</w:t>
      </w:r>
      <w:r w:rsidRPr="00D4643C">
        <w:rPr>
          <w:rFonts w:asciiTheme="majorBidi" w:eastAsiaTheme="minorHAnsi" w:hAnsiTheme="majorBidi" w:cstheme="majorBidi"/>
          <w:color w:val="000000" w:themeColor="text1"/>
          <w:szCs w:val="20"/>
          <w:lang w:bidi="he-IL"/>
        </w:rPr>
        <w:t xml:space="preserve"> </w:t>
      </w:r>
      <w:proofErr w:type="spellStart"/>
      <w:r w:rsidRPr="00D4643C">
        <w:rPr>
          <w:rFonts w:asciiTheme="majorBidi" w:eastAsiaTheme="minorHAnsi" w:hAnsiTheme="majorBidi" w:cstheme="majorBidi"/>
          <w:color w:val="000000" w:themeColor="text1"/>
          <w:szCs w:val="20"/>
          <w:lang w:bidi="he-IL"/>
        </w:rPr>
        <w:t>Halabi</w:t>
      </w:r>
      <w:proofErr w:type="spellEnd"/>
      <w:r w:rsidRPr="00D4643C">
        <w:rPr>
          <w:rFonts w:asciiTheme="majorBidi" w:hAnsiTheme="majorBidi" w:cstheme="majorBidi"/>
          <w:color w:val="000000" w:themeColor="text1"/>
          <w:szCs w:val="20"/>
        </w:rPr>
        <w:t>, “</w:t>
      </w:r>
      <w:r w:rsidRPr="00D4643C">
        <w:rPr>
          <w:rFonts w:asciiTheme="majorBidi" w:eastAsiaTheme="minorHAnsi" w:hAnsiTheme="majorBidi" w:cstheme="majorBidi"/>
          <w:color w:val="000000" w:themeColor="text1"/>
          <w:szCs w:val="20"/>
          <w:lang w:bidi="he-IL"/>
        </w:rPr>
        <w:t>Jerusalem in the Court and on the Ground</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hAnsiTheme="majorBidi" w:cstheme="majorBidi"/>
          <w:color w:val="000000" w:themeColor="text1"/>
          <w:szCs w:val="20"/>
          <w:shd w:val="clear" w:color="auto" w:fill="FFFFFF"/>
        </w:rPr>
        <w:t> </w:t>
      </w:r>
      <w:r w:rsidRPr="00D4643C">
        <w:rPr>
          <w:rFonts w:asciiTheme="majorBidi" w:hAnsiTheme="majorBidi" w:cstheme="majorBidi"/>
          <w:i/>
          <w:iCs/>
          <w:color w:val="000000" w:themeColor="text1"/>
          <w:szCs w:val="20"/>
        </w:rPr>
        <w:t>Florida Journal of International Law</w:t>
      </w:r>
      <w:r>
        <w:rPr>
          <w:rFonts w:asciiTheme="majorBidi" w:hAnsiTheme="majorBidi" w:cstheme="majorBidi"/>
          <w:color w:val="000000" w:themeColor="text1"/>
          <w:szCs w:val="20"/>
          <w:shd w:val="clear" w:color="auto" w:fill="FFFFFF"/>
        </w:rPr>
        <w:t>, 26(2),</w:t>
      </w:r>
      <w:r w:rsidRPr="00D4643C">
        <w:rPr>
          <w:rFonts w:asciiTheme="majorBidi" w:hAnsiTheme="majorBidi" w:cstheme="majorBidi"/>
          <w:color w:val="000000" w:themeColor="text1"/>
          <w:szCs w:val="20"/>
          <w:shd w:val="clear" w:color="auto" w:fill="FFFFFF"/>
        </w:rPr>
        <w:t xml:space="preserve"> 2014, 223-270.</w:t>
      </w:r>
    </w:p>
  </w:footnote>
  <w:footnote w:id="15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J.B. </w:t>
      </w:r>
      <w:proofErr w:type="spellStart"/>
      <w:r w:rsidRPr="00D4643C">
        <w:rPr>
          <w:rFonts w:asciiTheme="majorBidi" w:eastAsiaTheme="minorHAnsi" w:hAnsiTheme="majorBidi" w:cstheme="majorBidi"/>
          <w:color w:val="000000" w:themeColor="text1"/>
          <w:szCs w:val="20"/>
          <w:lang w:bidi="he-IL"/>
        </w:rPr>
        <w:t>Tulman</w:t>
      </w:r>
      <w:proofErr w:type="spellEnd"/>
      <w:r w:rsidRPr="00D4643C">
        <w:rPr>
          <w:rFonts w:asciiTheme="majorBidi" w:eastAsiaTheme="minorHAnsi" w:hAnsiTheme="majorBidi" w:cstheme="majorBidi"/>
          <w:color w:val="000000" w:themeColor="text1"/>
          <w:szCs w:val="20"/>
          <w:lang w:bidi="he-IL"/>
        </w:rPr>
        <w:t>,</w:t>
      </w:r>
      <w:r w:rsidRPr="00D4643C">
        <w:rPr>
          <w:rFonts w:asciiTheme="majorBidi" w:hAnsiTheme="majorBidi" w:cstheme="majorBidi"/>
          <w:color w:val="000000" w:themeColor="text1"/>
          <w:szCs w:val="20"/>
        </w:rPr>
        <w:t xml:space="preserve"> “The </w:t>
      </w:r>
      <w:r w:rsidRPr="00D4643C">
        <w:rPr>
          <w:rFonts w:asciiTheme="majorBidi" w:eastAsiaTheme="minorHAnsi" w:hAnsiTheme="majorBidi" w:cstheme="majorBidi"/>
          <w:color w:val="000000" w:themeColor="text1"/>
          <w:szCs w:val="20"/>
          <w:lang w:bidi="he-IL"/>
        </w:rPr>
        <w:t>International Legal Status of Jerusalem</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hAnsiTheme="majorBidi" w:cstheme="majorBidi"/>
          <w:color w:val="000000" w:themeColor="text1"/>
          <w:szCs w:val="20"/>
          <w:shd w:val="clear" w:color="auto" w:fill="FFFFFF"/>
        </w:rPr>
        <w:t> </w:t>
      </w:r>
      <w:r w:rsidRPr="00D4643C">
        <w:rPr>
          <w:rFonts w:asciiTheme="majorBidi" w:hAnsiTheme="majorBidi" w:cstheme="majorBidi"/>
          <w:i/>
          <w:iCs/>
          <w:color w:val="000000" w:themeColor="text1"/>
          <w:szCs w:val="20"/>
        </w:rPr>
        <w:t>A.S.I.L.S. International Law Journal</w:t>
      </w:r>
      <w:r>
        <w:rPr>
          <w:rFonts w:asciiTheme="majorBidi" w:hAnsiTheme="majorBidi" w:cstheme="majorBidi"/>
          <w:color w:val="000000" w:themeColor="text1"/>
          <w:szCs w:val="20"/>
          <w:shd w:val="clear" w:color="auto" w:fill="FFFFFF"/>
        </w:rPr>
        <w:t xml:space="preserve">, </w:t>
      </w:r>
      <w:r w:rsidRPr="00D4643C">
        <w:rPr>
          <w:rFonts w:asciiTheme="majorBidi" w:hAnsiTheme="majorBidi" w:cstheme="majorBidi"/>
          <w:color w:val="000000" w:themeColor="text1"/>
          <w:szCs w:val="20"/>
          <w:shd w:val="clear" w:color="auto" w:fill="FFFFFF"/>
        </w:rPr>
        <w:t>3, 1979, 39-62</w:t>
      </w:r>
      <w:r>
        <w:rPr>
          <w:rFonts w:asciiTheme="majorBidi" w:hAnsiTheme="majorBidi" w:cstheme="majorBidi"/>
          <w:color w:val="000000" w:themeColor="text1"/>
          <w:szCs w:val="20"/>
        </w:rPr>
        <w:t>.</w:t>
      </w:r>
    </w:p>
  </w:footnote>
  <w:footnote w:id="15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J. Quigley, “The Status of Jerusalem after the Admission of Palestine to the United Nations”, in </w:t>
      </w:r>
      <w:proofErr w:type="spellStart"/>
      <w:r w:rsidRPr="00D4643C">
        <w:rPr>
          <w:rFonts w:asciiTheme="majorBidi" w:hAnsiTheme="majorBidi" w:cstheme="majorBidi"/>
          <w:color w:val="000000" w:themeColor="text1"/>
          <w:szCs w:val="20"/>
        </w:rPr>
        <w:t>Qafisheh</w:t>
      </w:r>
      <w:proofErr w:type="spellEnd"/>
      <w:r w:rsidRPr="00D4643C">
        <w:rPr>
          <w:rFonts w:asciiTheme="majorBidi" w:hAnsiTheme="majorBidi" w:cstheme="majorBidi"/>
          <w:color w:val="000000" w:themeColor="text1"/>
          <w:szCs w:val="20"/>
        </w:rPr>
        <w:t>,</w:t>
      </w:r>
      <w:r w:rsidRPr="00D4643C">
        <w:rPr>
          <w:rFonts w:asciiTheme="majorBidi" w:hAnsiTheme="majorBidi" w:cstheme="majorBidi"/>
          <w:i/>
          <w:iCs/>
          <w:color w:val="000000" w:themeColor="text1"/>
          <w:szCs w:val="20"/>
        </w:rPr>
        <w:t xml:space="preserve"> Palestine </w:t>
      </w:r>
      <w:r>
        <w:rPr>
          <w:rFonts w:asciiTheme="majorBidi" w:hAnsiTheme="majorBidi" w:cstheme="majorBidi"/>
          <w:i/>
          <w:iCs/>
          <w:color w:val="000000" w:themeColor="text1"/>
          <w:szCs w:val="20"/>
        </w:rPr>
        <w:t>Membership</w:t>
      </w:r>
      <w:r w:rsidRPr="00D4643C">
        <w:rPr>
          <w:rFonts w:asciiTheme="majorBidi" w:hAnsiTheme="majorBidi" w:cstheme="majorBidi"/>
          <w:color w:val="000000" w:themeColor="text1"/>
          <w:szCs w:val="20"/>
        </w:rPr>
        <w:t xml:space="preserve">, above </w:t>
      </w:r>
      <w:r>
        <w:rPr>
          <w:rFonts w:asciiTheme="majorBidi" w:hAnsiTheme="majorBidi" w:cstheme="majorBidi"/>
          <w:color w:val="000000" w:themeColor="text1"/>
          <w:szCs w:val="20"/>
        </w:rPr>
        <w:t>footnote 4</w:t>
      </w:r>
      <w:r w:rsidRPr="00D4643C">
        <w:rPr>
          <w:rFonts w:asciiTheme="majorBidi" w:hAnsiTheme="majorBidi" w:cstheme="majorBidi"/>
          <w:color w:val="000000" w:themeColor="text1"/>
          <w:szCs w:val="20"/>
        </w:rPr>
        <w:t>, 290-307.</w:t>
      </w:r>
    </w:p>
  </w:footnote>
  <w:footnote w:id="159">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Order Concerning General Exit Permit (West</w:t>
      </w:r>
      <w:r>
        <w:rPr>
          <w:rFonts w:asciiTheme="majorBidi" w:hAnsiTheme="majorBidi" w:cstheme="majorBidi"/>
          <w:color w:val="000000" w:themeColor="text1"/>
          <w:szCs w:val="20"/>
        </w:rPr>
        <w:t xml:space="preserve"> Bank) No. 3 of 19 January 1968</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Israeli Army, </w:t>
      </w:r>
      <w:r w:rsidRPr="00D4643C">
        <w:rPr>
          <w:rFonts w:asciiTheme="majorBidi" w:hAnsiTheme="majorBidi" w:cstheme="majorBidi"/>
          <w:i/>
          <w:iCs/>
          <w:color w:val="000000" w:themeColor="text1"/>
          <w:szCs w:val="20"/>
        </w:rPr>
        <w:t>Proclamations, Orders and Appointments (West Bank)</w:t>
      </w:r>
      <w:r>
        <w:rPr>
          <w:rFonts w:asciiTheme="majorBidi" w:hAnsiTheme="majorBidi" w:cstheme="majorBidi"/>
          <w:color w:val="000000" w:themeColor="text1"/>
          <w:szCs w:val="20"/>
        </w:rPr>
        <w:t>, 16, 1969, 598).</w:t>
      </w:r>
    </w:p>
  </w:footnote>
  <w:footnote w:id="160">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United Nations Office for the Coordination of Humanitarian Affairs (OCHA), </w:t>
      </w:r>
      <w:r w:rsidRPr="00D4643C">
        <w:rPr>
          <w:rFonts w:asciiTheme="majorBidi" w:hAnsiTheme="majorBidi" w:cstheme="majorBidi"/>
          <w:i/>
          <w:iCs/>
          <w:color w:val="000000" w:themeColor="text1"/>
          <w:szCs w:val="20"/>
        </w:rPr>
        <w:t>East Jerusalem: Key Humanitarian Concerns</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Jerusalem, OCHA</w:t>
      </w:r>
      <w:r w:rsidRPr="00D4643C">
        <w:rPr>
          <w:rFonts w:asciiTheme="majorBidi" w:hAnsiTheme="majorBidi" w:cstheme="majorBidi"/>
          <w:color w:val="000000" w:themeColor="text1"/>
          <w:szCs w:val="20"/>
        </w:rPr>
        <w:t>, 2011, 12-26.</w:t>
      </w:r>
    </w:p>
  </w:footnote>
  <w:footnote w:id="161">
    <w:p w:rsidR="00A7663B" w:rsidRDefault="00A7663B" w:rsidP="00E148C0">
      <w:pPr>
        <w:pStyle w:val="FootnoteText"/>
        <w:jc w:val="both"/>
      </w:pPr>
      <w:r>
        <w:rPr>
          <w:rStyle w:val="FootnoteReference"/>
        </w:rPr>
        <w:footnoteRef/>
      </w:r>
      <w:r>
        <w:t xml:space="preserve"> No statistics on these cases are available as East Jerusalemites refrain from declaring that they live or work in the West Bank due to the fear of residency</w:t>
      </w:r>
      <w:r w:rsidRPr="00D4643C">
        <w:rPr>
          <w:rFonts w:asciiTheme="majorBidi" w:hAnsiTheme="majorBidi" w:cstheme="majorBidi"/>
          <w:color w:val="000000" w:themeColor="text1"/>
          <w:szCs w:val="20"/>
        </w:rPr>
        <w:t>’</w:t>
      </w:r>
      <w:r>
        <w:rPr>
          <w:rFonts w:asciiTheme="majorBidi" w:hAnsiTheme="majorBidi" w:cstheme="majorBidi"/>
          <w:color w:val="000000" w:themeColor="text1"/>
          <w:szCs w:val="20"/>
        </w:rPr>
        <w:t>s</w:t>
      </w:r>
      <w:r>
        <w:t xml:space="preserve"> revocation.</w:t>
      </w:r>
    </w:p>
  </w:footnote>
  <w:footnote w:id="162">
    <w:p w:rsidR="00A7663B" w:rsidRPr="00D4643C" w:rsidRDefault="00A7663B" w:rsidP="00D4643C">
      <w:pPr>
        <w:bidi w:val="0"/>
        <w:jc w:val="both"/>
        <w:rPr>
          <w:rFonts w:asciiTheme="majorBidi" w:eastAsia="Times New Roman" w:hAnsiTheme="majorBidi" w:cstheme="majorBidi"/>
          <w:color w:val="000000" w:themeColor="text1"/>
          <w:sz w:val="20"/>
          <w:szCs w:val="20"/>
          <w:lang w:bidi="ar-SA"/>
        </w:rPr>
      </w:pPr>
      <w:r w:rsidRPr="00D4643C">
        <w:rPr>
          <w:rStyle w:val="FootnoteReference"/>
          <w:rFonts w:asciiTheme="majorBidi" w:hAnsiTheme="majorBidi" w:cstheme="majorBidi"/>
          <w:color w:val="000000" w:themeColor="text1"/>
          <w:sz w:val="20"/>
          <w:szCs w:val="20"/>
        </w:rPr>
        <w:footnoteRef/>
      </w:r>
      <w:r w:rsidRPr="00D4643C">
        <w:rPr>
          <w:rFonts w:asciiTheme="majorBidi" w:hAnsiTheme="majorBidi" w:cstheme="majorBidi"/>
          <w:color w:val="000000" w:themeColor="text1"/>
          <w:sz w:val="20"/>
          <w:szCs w:val="20"/>
        </w:rPr>
        <w:t xml:space="preserve"> Palestine Today, “Jerusalem Parliamentarians: Israeli Deportation Policy”, </w:t>
      </w:r>
      <w:r>
        <w:rPr>
          <w:rFonts w:asciiTheme="majorBidi" w:hAnsiTheme="majorBidi" w:cstheme="majorBidi"/>
          <w:color w:val="000000" w:themeColor="text1"/>
          <w:sz w:val="20"/>
          <w:szCs w:val="20"/>
        </w:rPr>
        <w:t xml:space="preserve">Beirut, </w:t>
      </w:r>
      <w:proofErr w:type="spellStart"/>
      <w:r w:rsidRPr="00D4643C">
        <w:rPr>
          <w:rFonts w:asciiTheme="majorBidi" w:hAnsiTheme="majorBidi" w:cstheme="majorBidi"/>
          <w:color w:val="000000" w:themeColor="text1"/>
          <w:sz w:val="20"/>
          <w:szCs w:val="20"/>
        </w:rPr>
        <w:t>Zaytouna</w:t>
      </w:r>
      <w:proofErr w:type="spellEnd"/>
      <w:r>
        <w:rPr>
          <w:rFonts w:asciiTheme="majorBidi" w:hAnsiTheme="majorBidi" w:cstheme="majorBidi"/>
          <w:color w:val="000000" w:themeColor="text1"/>
          <w:sz w:val="20"/>
          <w:szCs w:val="20"/>
          <w:lang w:bidi="ar-SA"/>
        </w:rPr>
        <w:t xml:space="preserve"> Center, 13 Jan.</w:t>
      </w:r>
      <w:r w:rsidRPr="00D4643C">
        <w:rPr>
          <w:rFonts w:asciiTheme="majorBidi" w:hAnsiTheme="majorBidi" w:cstheme="majorBidi"/>
          <w:color w:val="000000" w:themeColor="text1"/>
          <w:sz w:val="20"/>
          <w:szCs w:val="20"/>
          <w:lang w:bidi="ar-SA"/>
        </w:rPr>
        <w:t xml:space="preserve"> 2011, available at: </w:t>
      </w:r>
      <w:r w:rsidRPr="00D4643C">
        <w:rPr>
          <w:rFonts w:asciiTheme="majorBidi" w:eastAsia="Times New Roman" w:hAnsiTheme="majorBidi" w:cstheme="majorBidi"/>
          <w:color w:val="000000" w:themeColor="text1"/>
          <w:sz w:val="20"/>
          <w:szCs w:val="20"/>
          <w:shd w:val="clear" w:color="auto" w:fill="FFFFFF"/>
          <w:lang w:bidi="ar-SA"/>
        </w:rPr>
        <w:t>www.alzaytouna.net</w:t>
      </w:r>
      <w:r w:rsidRPr="00D4643C">
        <w:rPr>
          <w:rFonts w:asciiTheme="majorBidi" w:eastAsia="Times New Roman" w:hAnsiTheme="majorBidi" w:cstheme="majorBidi"/>
          <w:color w:val="000000" w:themeColor="text1"/>
          <w:sz w:val="20"/>
          <w:szCs w:val="20"/>
          <w:lang w:bidi="ar-SA"/>
        </w:rPr>
        <w:t xml:space="preserve"> (last visited 29 Aug. 2015).</w:t>
      </w:r>
    </w:p>
  </w:footnote>
  <w:footnote w:id="163">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OCHA, </w:t>
      </w:r>
      <w:r>
        <w:rPr>
          <w:rFonts w:asciiTheme="majorBidi" w:hAnsiTheme="majorBidi" w:cstheme="majorBidi"/>
          <w:i/>
          <w:iCs/>
          <w:color w:val="000000" w:themeColor="text1"/>
          <w:szCs w:val="20"/>
        </w:rPr>
        <w:t>Seven Years A</w:t>
      </w:r>
      <w:r w:rsidRPr="00D4643C">
        <w:rPr>
          <w:rFonts w:asciiTheme="majorBidi" w:hAnsiTheme="majorBidi" w:cstheme="majorBidi"/>
          <w:i/>
          <w:iCs/>
          <w:color w:val="000000" w:themeColor="text1"/>
          <w:szCs w:val="20"/>
        </w:rPr>
        <w:t>fter the Advisory Opinion of the International Court of Justice on the Barrier:  The Impact of the Barrier in the Jerusalem Area</w:t>
      </w:r>
      <w:r>
        <w:rPr>
          <w:rFonts w:asciiTheme="majorBidi" w:hAnsiTheme="majorBidi" w:cstheme="majorBidi"/>
          <w:color w:val="000000" w:themeColor="text1"/>
          <w:szCs w:val="20"/>
        </w:rPr>
        <w:t>, Jerusalem, Jul.</w:t>
      </w:r>
      <w:r w:rsidRPr="00D4643C">
        <w:rPr>
          <w:rFonts w:asciiTheme="majorBidi" w:hAnsiTheme="majorBidi" w:cstheme="majorBidi"/>
          <w:color w:val="000000" w:themeColor="text1"/>
          <w:szCs w:val="20"/>
        </w:rPr>
        <w:t xml:space="preserve"> 2011.</w:t>
      </w:r>
    </w:p>
  </w:footnote>
  <w:footnote w:id="164">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Ibid.</w:t>
      </w:r>
      <w:r w:rsidRPr="00D4643C">
        <w:rPr>
          <w:rFonts w:asciiTheme="majorBidi" w:hAnsiTheme="majorBidi" w:cstheme="majorBidi"/>
          <w:color w:val="000000" w:themeColor="text1"/>
          <w:szCs w:val="20"/>
        </w:rPr>
        <w:t>, 11.</w:t>
      </w:r>
    </w:p>
  </w:footnote>
  <w:footnote w:id="165">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D.C. </w:t>
      </w:r>
      <w:proofErr w:type="spellStart"/>
      <w:r w:rsidRPr="00D4643C">
        <w:rPr>
          <w:rFonts w:asciiTheme="majorBidi" w:hAnsiTheme="majorBidi" w:cstheme="majorBidi"/>
          <w:color w:val="000000" w:themeColor="text1"/>
          <w:szCs w:val="20"/>
        </w:rPr>
        <w:t>Jefferis</w:t>
      </w:r>
      <w:proofErr w:type="spellEnd"/>
      <w:r w:rsidRPr="00D4643C">
        <w:rPr>
          <w:rFonts w:asciiTheme="majorBidi" w:hAnsiTheme="majorBidi" w:cstheme="majorBidi"/>
          <w:color w:val="000000" w:themeColor="text1"/>
          <w:szCs w:val="20"/>
        </w:rPr>
        <w:t xml:space="preserve">, “The ‘Center of Life Policy’: Institutionalizing Statelessness in East Jerusalem”, </w:t>
      </w:r>
      <w:r w:rsidRPr="00D4643C">
        <w:rPr>
          <w:rFonts w:asciiTheme="majorBidi" w:hAnsiTheme="majorBidi" w:cstheme="majorBidi"/>
          <w:i/>
          <w:iCs/>
          <w:color w:val="000000" w:themeColor="text1"/>
          <w:szCs w:val="20"/>
        </w:rPr>
        <w:t>Jerusalem Quarterly</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 xml:space="preserve">50, 2012, 94-103. </w:t>
      </w:r>
    </w:p>
  </w:footnote>
  <w:footnote w:id="166">
    <w:p w:rsidR="00A7663B" w:rsidRPr="00D4643C" w:rsidRDefault="00A7663B" w:rsidP="00AD5F10">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 </w:t>
      </w:r>
      <w:proofErr w:type="spellStart"/>
      <w:r w:rsidRPr="00D4643C">
        <w:rPr>
          <w:rFonts w:asciiTheme="majorBidi" w:hAnsiTheme="majorBidi" w:cstheme="majorBidi"/>
          <w:color w:val="000000" w:themeColor="text1"/>
          <w:szCs w:val="20"/>
        </w:rPr>
        <w:t>Ruwaidi</w:t>
      </w:r>
      <w:proofErr w:type="spellEnd"/>
      <w:r w:rsidRPr="00D4643C">
        <w:rPr>
          <w:rFonts w:asciiTheme="majorBidi" w:hAnsiTheme="majorBidi" w:cstheme="majorBidi"/>
          <w:color w:val="000000" w:themeColor="text1"/>
          <w:szCs w:val="20"/>
        </w:rPr>
        <w:t xml:space="preserve"> &amp; N. </w:t>
      </w:r>
      <w:proofErr w:type="spellStart"/>
      <w:r w:rsidRPr="00D4643C">
        <w:rPr>
          <w:rFonts w:asciiTheme="majorBidi" w:hAnsiTheme="majorBidi" w:cstheme="majorBidi"/>
          <w:color w:val="000000" w:themeColor="text1"/>
          <w:szCs w:val="20"/>
        </w:rPr>
        <w:t>Dkidik</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Guide on Procedures for Residency in East Jerusalem</w:t>
      </w:r>
      <w:r w:rsidRPr="00D4643C">
        <w:rPr>
          <w:rFonts w:asciiTheme="majorBidi" w:hAnsiTheme="majorBidi" w:cstheme="majorBidi"/>
          <w:color w:val="000000" w:themeColor="text1"/>
          <w:szCs w:val="20"/>
        </w:rPr>
        <w:t>, Jerusalem,</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Civic Coalition for Defending the Palestinians’ Rights in Jerusalem, 2007.</w:t>
      </w:r>
    </w:p>
  </w:footnote>
  <w:footnote w:id="16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E.g. Art. 27(2)(b) of Decree Law No. 1 of 2007 Concerning General Elections (above </w:t>
      </w:r>
      <w:r>
        <w:rPr>
          <w:rFonts w:asciiTheme="majorBidi" w:hAnsiTheme="majorBidi" w:cstheme="majorBidi"/>
          <w:color w:val="000000" w:themeColor="text1"/>
          <w:szCs w:val="20"/>
        </w:rPr>
        <w:t>footnote</w:t>
      </w:r>
      <w:r w:rsidRPr="00D4643C">
        <w:rPr>
          <w:rFonts w:asciiTheme="majorBidi" w:hAnsiTheme="majorBidi" w:cstheme="majorBidi"/>
          <w:color w:val="000000" w:themeColor="text1"/>
          <w:szCs w:val="20"/>
        </w:rPr>
        <w:t xml:space="preserve">) stated that: “For the purposes of this law, the person is deemed Palestinian citizen if: […] Born in the Gaza Strip or the West Bank, including </w:t>
      </w:r>
      <w:r>
        <w:rPr>
          <w:rFonts w:asciiTheme="majorBidi" w:hAnsiTheme="majorBidi" w:cstheme="majorBidi"/>
          <w:color w:val="000000" w:themeColor="text1"/>
          <w:szCs w:val="20"/>
        </w:rPr>
        <w:t xml:space="preserve">the </w:t>
      </w:r>
      <w:r w:rsidRPr="00D4643C">
        <w:rPr>
          <w:rFonts w:asciiTheme="majorBidi" w:hAnsiTheme="majorBidi" w:cstheme="majorBidi"/>
          <w:color w:val="000000" w:themeColor="text1"/>
          <w:szCs w:val="20"/>
        </w:rPr>
        <w:t>Holly [</w:t>
      </w:r>
      <w:r>
        <w:rPr>
          <w:rFonts w:asciiTheme="majorBidi" w:hAnsiTheme="majorBidi" w:cstheme="majorBidi"/>
          <w:color w:val="000000" w:themeColor="text1"/>
          <w:szCs w:val="20"/>
        </w:rPr>
        <w:t xml:space="preserve">i.e. </w:t>
      </w:r>
      <w:r w:rsidRPr="00D4643C">
        <w:rPr>
          <w:rFonts w:asciiTheme="majorBidi" w:hAnsiTheme="majorBidi" w:cstheme="majorBidi"/>
          <w:color w:val="000000" w:themeColor="text1"/>
          <w:szCs w:val="20"/>
        </w:rPr>
        <w:t>East] Jerusalem”.</w:t>
      </w:r>
    </w:p>
  </w:footnote>
  <w:footnote w:id="16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eastAsiaTheme="minorHAnsi" w:hAnsiTheme="majorBidi" w:cstheme="majorBidi"/>
          <w:color w:val="000000" w:themeColor="text1"/>
          <w:szCs w:val="20"/>
          <w:lang w:bidi="he-IL"/>
        </w:rPr>
        <w:t xml:space="preserve"> D. </w:t>
      </w:r>
      <w:proofErr w:type="spellStart"/>
      <w:r w:rsidRPr="00D4643C">
        <w:rPr>
          <w:rFonts w:asciiTheme="majorBidi" w:eastAsiaTheme="minorHAnsi" w:hAnsiTheme="majorBidi" w:cstheme="majorBidi"/>
          <w:color w:val="000000" w:themeColor="text1"/>
          <w:szCs w:val="20"/>
          <w:lang w:bidi="he-IL"/>
        </w:rPr>
        <w:t>Herling</w:t>
      </w:r>
      <w:proofErr w:type="spellEnd"/>
      <w:r w:rsidRPr="00D4643C">
        <w:rPr>
          <w:rFonts w:asciiTheme="majorBidi" w:eastAsiaTheme="minorHAnsi" w:hAnsiTheme="majorBidi" w:cstheme="majorBidi"/>
          <w:color w:val="000000" w:themeColor="text1"/>
          <w:szCs w:val="20"/>
          <w:lang w:bidi="he-IL"/>
        </w:rPr>
        <w:t xml:space="preserve">, </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 xml:space="preserve">The Court, the Ministry and the Law: </w:t>
      </w:r>
      <w:proofErr w:type="spellStart"/>
      <w:r w:rsidRPr="00D4643C">
        <w:rPr>
          <w:rFonts w:asciiTheme="majorBidi" w:eastAsiaTheme="minorHAnsi" w:hAnsiTheme="majorBidi" w:cstheme="majorBidi"/>
          <w:color w:val="000000" w:themeColor="text1"/>
          <w:szCs w:val="20"/>
          <w:lang w:bidi="he-IL"/>
        </w:rPr>
        <w:t>Awad</w:t>
      </w:r>
      <w:proofErr w:type="spellEnd"/>
      <w:r w:rsidRPr="00D4643C">
        <w:rPr>
          <w:rFonts w:asciiTheme="majorBidi" w:eastAsiaTheme="minorHAnsi" w:hAnsiTheme="majorBidi" w:cstheme="majorBidi"/>
          <w:color w:val="000000" w:themeColor="text1"/>
          <w:szCs w:val="20"/>
          <w:lang w:bidi="he-IL"/>
        </w:rPr>
        <w:t xml:space="preserve"> and the Withdrawal of East Jerusalem Residence Rights</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hAnsiTheme="majorBidi" w:cstheme="majorBidi"/>
          <w:color w:val="000000" w:themeColor="text1"/>
          <w:szCs w:val="20"/>
          <w:shd w:val="clear" w:color="auto" w:fill="FFFFFF"/>
        </w:rPr>
        <w:t> </w:t>
      </w:r>
      <w:r w:rsidRPr="00D4643C">
        <w:rPr>
          <w:rFonts w:asciiTheme="majorBidi" w:hAnsiTheme="majorBidi" w:cstheme="majorBidi"/>
          <w:i/>
          <w:iCs/>
          <w:color w:val="000000" w:themeColor="text1"/>
          <w:szCs w:val="20"/>
        </w:rPr>
        <w:t>Israel Law Review</w:t>
      </w:r>
      <w:r>
        <w:rPr>
          <w:rFonts w:asciiTheme="majorBidi" w:hAnsiTheme="majorBidi" w:cstheme="majorBidi"/>
          <w:color w:val="000000" w:themeColor="text1"/>
          <w:szCs w:val="20"/>
          <w:shd w:val="clear" w:color="auto" w:fill="FFFFFF"/>
        </w:rPr>
        <w:t xml:space="preserve">, </w:t>
      </w:r>
      <w:r w:rsidRPr="00D4643C">
        <w:rPr>
          <w:rFonts w:asciiTheme="majorBidi" w:hAnsiTheme="majorBidi" w:cstheme="majorBidi"/>
          <w:color w:val="000000" w:themeColor="text1"/>
          <w:szCs w:val="20"/>
          <w:shd w:val="clear" w:color="auto" w:fill="FFFFFF"/>
        </w:rPr>
        <w:t>33(1), 1999, 67-105.</w:t>
      </w:r>
    </w:p>
  </w:footnote>
  <w:footnote w:id="169">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HaMoked</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Written Submission for Consideration Regarding Israel’s Third Periodic Report to the UN Human Rights Committee</w:t>
      </w:r>
      <w:r w:rsidRPr="00D4643C">
        <w:rPr>
          <w:rFonts w:asciiTheme="majorBidi" w:hAnsiTheme="majorBidi" w:cstheme="majorBidi"/>
          <w:color w:val="000000" w:themeColor="text1"/>
          <w:szCs w:val="20"/>
        </w:rPr>
        <w:t>, 2010, 2, available at:  http://www2.ohchr.org (last visited 29 Aug. 2015).</w:t>
      </w:r>
    </w:p>
  </w:footnote>
  <w:footnote w:id="170">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B’Tselem</w:t>
      </w:r>
      <w:proofErr w:type="spellEnd"/>
      <w:r w:rsidRPr="00D4643C">
        <w:rPr>
          <w:rFonts w:asciiTheme="majorBidi" w:hAnsiTheme="majorBidi" w:cstheme="majorBidi"/>
          <w:color w:val="000000" w:themeColor="text1"/>
          <w:szCs w:val="20"/>
        </w:rPr>
        <w:t xml:space="preserve"> &amp; </w:t>
      </w:r>
      <w:proofErr w:type="spellStart"/>
      <w:r w:rsidRPr="00D4643C">
        <w:rPr>
          <w:rFonts w:asciiTheme="majorBidi" w:hAnsiTheme="majorBidi" w:cstheme="majorBidi"/>
          <w:color w:val="000000" w:themeColor="text1"/>
          <w:szCs w:val="20"/>
        </w:rPr>
        <w:t>HaMoked</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The Quiet Deportation: Revocation of Residency of East Jerusalem Palestinians</w:t>
      </w:r>
      <w:r w:rsidRPr="00D4643C">
        <w:rPr>
          <w:rFonts w:asciiTheme="majorBidi" w:hAnsiTheme="majorBidi" w:cstheme="majorBidi"/>
          <w:color w:val="000000" w:themeColor="text1"/>
          <w:szCs w:val="20"/>
        </w:rPr>
        <w:t>, Jerusalem, 1997.</w:t>
      </w:r>
    </w:p>
  </w:footnote>
  <w:footnote w:id="171">
    <w:p w:rsidR="00A7663B" w:rsidRPr="00D4643C" w:rsidRDefault="00A7663B" w:rsidP="00D4643C">
      <w:pPr>
        <w:pStyle w:val="FootnoteText"/>
        <w:jc w:val="both"/>
        <w:rPr>
          <w:rFonts w:asciiTheme="majorBidi" w:hAnsiTheme="majorBidi" w:cstheme="majorBidi"/>
          <w:color w:val="000000" w:themeColor="text1"/>
          <w:szCs w:val="20"/>
          <w:shd w:val="clear" w:color="auto" w:fill="FFFFFF"/>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shd w:val="clear" w:color="auto" w:fill="FFFFFF"/>
        </w:rPr>
        <w:t> </w:t>
      </w:r>
      <w:r w:rsidRPr="00D4643C">
        <w:rPr>
          <w:rFonts w:asciiTheme="majorBidi" w:eastAsiaTheme="minorHAnsi" w:hAnsiTheme="majorBidi" w:cstheme="majorBidi"/>
          <w:color w:val="000000" w:themeColor="text1"/>
          <w:szCs w:val="20"/>
          <w:lang w:bidi="he-IL"/>
        </w:rPr>
        <w:t xml:space="preserve">Y. </w:t>
      </w:r>
      <w:proofErr w:type="spellStart"/>
      <w:r w:rsidRPr="00D4643C">
        <w:rPr>
          <w:rFonts w:asciiTheme="majorBidi" w:eastAsiaTheme="minorHAnsi" w:hAnsiTheme="majorBidi" w:cstheme="majorBidi"/>
          <w:color w:val="000000" w:themeColor="text1"/>
          <w:szCs w:val="20"/>
          <w:lang w:bidi="he-IL"/>
        </w:rPr>
        <w:t>Peled</w:t>
      </w:r>
      <w:proofErr w:type="spellEnd"/>
      <w:r w:rsidRPr="00D4643C">
        <w:rPr>
          <w:rFonts w:asciiTheme="majorBidi" w:eastAsiaTheme="minorHAnsi" w:hAnsiTheme="majorBidi" w:cstheme="majorBidi"/>
          <w:color w:val="000000" w:themeColor="text1"/>
          <w:szCs w:val="20"/>
          <w:lang w:bidi="he-IL"/>
        </w:rPr>
        <w:t xml:space="preserve">, </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Citizenship Betrayed: Israel</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s Emerging Immigration and Citizenship Regime</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hAnsiTheme="majorBidi" w:cstheme="majorBidi"/>
          <w:i/>
          <w:iCs/>
          <w:color w:val="000000" w:themeColor="text1"/>
          <w:szCs w:val="20"/>
        </w:rPr>
        <w:t xml:space="preserve"> Theoretical Inquiries in Law</w:t>
      </w:r>
      <w:r>
        <w:rPr>
          <w:rFonts w:asciiTheme="majorBidi" w:hAnsiTheme="majorBidi" w:cstheme="majorBidi"/>
          <w:color w:val="000000" w:themeColor="text1"/>
          <w:szCs w:val="20"/>
          <w:shd w:val="clear" w:color="auto" w:fill="FFFFFF"/>
        </w:rPr>
        <w:t xml:space="preserve">, </w:t>
      </w:r>
      <w:r w:rsidRPr="00D4643C">
        <w:rPr>
          <w:rFonts w:asciiTheme="majorBidi" w:hAnsiTheme="majorBidi" w:cstheme="majorBidi"/>
          <w:color w:val="000000" w:themeColor="text1"/>
          <w:szCs w:val="20"/>
          <w:shd w:val="clear" w:color="auto" w:fill="FFFFFF"/>
        </w:rPr>
        <w:t xml:space="preserve">8(2), 2007, 603-628; </w:t>
      </w:r>
      <w:r w:rsidRPr="00D4643C">
        <w:rPr>
          <w:rFonts w:asciiTheme="majorBidi" w:eastAsiaTheme="minorHAnsi" w:hAnsiTheme="majorBidi" w:cstheme="majorBidi"/>
          <w:color w:val="000000" w:themeColor="text1"/>
          <w:szCs w:val="20"/>
          <w:lang w:bidi="he-IL"/>
        </w:rPr>
        <w:t xml:space="preserve">L. </w:t>
      </w:r>
      <w:proofErr w:type="spellStart"/>
      <w:r w:rsidRPr="00D4643C">
        <w:rPr>
          <w:rFonts w:asciiTheme="majorBidi" w:eastAsiaTheme="minorHAnsi" w:hAnsiTheme="majorBidi" w:cstheme="majorBidi"/>
          <w:color w:val="000000" w:themeColor="text1"/>
          <w:szCs w:val="20"/>
          <w:lang w:bidi="he-IL"/>
        </w:rPr>
        <w:t>Bilsky</w:t>
      </w:r>
      <w:proofErr w:type="spellEnd"/>
      <w:r w:rsidRPr="00D4643C">
        <w:rPr>
          <w:rFonts w:asciiTheme="majorBidi" w:eastAsiaTheme="minorHAnsi" w:hAnsiTheme="majorBidi" w:cstheme="majorBidi"/>
          <w:color w:val="000000" w:themeColor="text1"/>
          <w:szCs w:val="20"/>
          <w:lang w:bidi="he-IL"/>
        </w:rPr>
        <w:t xml:space="preserve">, </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Speaking through the Mask: Israeli Arabs and the Changing Faces of Israeli Citizenship</w:t>
      </w:r>
      <w:r w:rsidRPr="00D4643C">
        <w:rPr>
          <w:rFonts w:asciiTheme="majorBidi" w:hAnsiTheme="majorBidi" w:cstheme="majorBidi"/>
          <w:color w:val="000000" w:themeColor="text1"/>
          <w:szCs w:val="20"/>
        </w:rPr>
        <w:t>”</w:t>
      </w:r>
      <w:r w:rsidRPr="00D4643C">
        <w:rPr>
          <w:rFonts w:asciiTheme="majorBidi" w:eastAsiaTheme="minorHAnsi" w:hAnsiTheme="majorBidi" w:cstheme="majorBidi"/>
          <w:color w:val="000000" w:themeColor="text1"/>
          <w:szCs w:val="20"/>
          <w:lang w:bidi="he-IL"/>
        </w:rPr>
        <w:t>,</w:t>
      </w:r>
      <w:r w:rsidRPr="00D4643C">
        <w:rPr>
          <w:rFonts w:asciiTheme="majorBidi" w:hAnsiTheme="majorBidi" w:cstheme="majorBidi"/>
          <w:color w:val="000000" w:themeColor="text1"/>
          <w:szCs w:val="20"/>
          <w:shd w:val="clear" w:color="auto" w:fill="FFFFFF"/>
        </w:rPr>
        <w:t> </w:t>
      </w:r>
      <w:r w:rsidRPr="00D4643C">
        <w:rPr>
          <w:rFonts w:asciiTheme="majorBidi" w:hAnsiTheme="majorBidi" w:cstheme="majorBidi"/>
          <w:i/>
          <w:iCs/>
          <w:color w:val="000000" w:themeColor="text1"/>
          <w:szCs w:val="20"/>
        </w:rPr>
        <w:t>Middle East Law and Governance</w:t>
      </w:r>
      <w:r>
        <w:rPr>
          <w:rFonts w:asciiTheme="majorBidi" w:hAnsiTheme="majorBidi" w:cstheme="majorBidi"/>
          <w:color w:val="000000" w:themeColor="text1"/>
          <w:szCs w:val="20"/>
          <w:shd w:val="clear" w:color="auto" w:fill="FFFFFF"/>
        </w:rPr>
        <w:t xml:space="preserve">, </w:t>
      </w:r>
      <w:r w:rsidRPr="00D4643C">
        <w:rPr>
          <w:rFonts w:asciiTheme="majorBidi" w:hAnsiTheme="majorBidi" w:cstheme="majorBidi"/>
          <w:color w:val="000000" w:themeColor="text1"/>
          <w:szCs w:val="20"/>
          <w:shd w:val="clear" w:color="auto" w:fill="FFFFFF"/>
        </w:rPr>
        <w:t>1, 2009, 166-209.</w:t>
      </w:r>
    </w:p>
  </w:footnote>
  <w:footnote w:id="17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See above, Section 1</w:t>
      </w:r>
      <w:r w:rsidRPr="00D4643C">
        <w:rPr>
          <w:rFonts w:asciiTheme="majorBidi" w:hAnsiTheme="majorBidi" w:cstheme="majorBidi"/>
          <w:color w:val="000000" w:themeColor="text1"/>
          <w:szCs w:val="20"/>
        </w:rPr>
        <w:t>.</w:t>
      </w:r>
    </w:p>
  </w:footnote>
  <w:footnote w:id="173">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PCBS, </w:t>
      </w:r>
      <w:r w:rsidRPr="00D4643C">
        <w:rPr>
          <w:rFonts w:asciiTheme="majorBidi" w:hAnsiTheme="majorBidi" w:cstheme="majorBidi"/>
          <w:i/>
          <w:iCs/>
          <w:color w:val="000000" w:themeColor="text1"/>
          <w:szCs w:val="20"/>
        </w:rPr>
        <w:t>Population, Housing and Establishment Census-2007: Census Final Results</w:t>
      </w:r>
      <w:r>
        <w:rPr>
          <w:rFonts w:asciiTheme="majorBidi" w:hAnsiTheme="majorBidi" w:cstheme="majorBidi"/>
          <w:color w:val="000000" w:themeColor="text1"/>
          <w:szCs w:val="20"/>
        </w:rPr>
        <w:t>, Ramallah, 2007, 18.</w:t>
      </w:r>
    </w:p>
  </w:footnote>
  <w:footnote w:id="174">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In Sep. 1967, Israel estimated that the number of Palestinians in the West Bank and Gaza at 9099.000 person</w:t>
      </w:r>
      <w:r>
        <w:rPr>
          <w:rFonts w:asciiTheme="majorBidi" w:hAnsiTheme="majorBidi" w:cstheme="majorBidi"/>
          <w:color w:val="000000" w:themeColor="text1"/>
          <w:szCs w:val="20"/>
        </w:rPr>
        <w:t>s: about 599 thousand</w:t>
      </w:r>
      <w:r w:rsidRPr="00D4643C">
        <w:rPr>
          <w:rFonts w:asciiTheme="majorBidi" w:hAnsiTheme="majorBidi" w:cstheme="majorBidi"/>
          <w:color w:val="000000" w:themeColor="text1"/>
          <w:szCs w:val="20"/>
        </w:rPr>
        <w:t xml:space="preserve">s were enumerated in the West Bank and some 400 thousand in the Gaza Strip. </w:t>
      </w:r>
      <w:r w:rsidRPr="00D4643C">
        <w:rPr>
          <w:rFonts w:asciiTheme="majorBidi" w:hAnsiTheme="majorBidi" w:cstheme="majorBidi"/>
          <w:i/>
          <w:iCs/>
          <w:color w:val="000000" w:themeColor="text1"/>
          <w:szCs w:val="20"/>
        </w:rPr>
        <w:t>Ibid.</w:t>
      </w:r>
      <w:r w:rsidRPr="00D4643C">
        <w:rPr>
          <w:rFonts w:asciiTheme="majorBidi" w:hAnsiTheme="majorBidi" w:cstheme="majorBidi"/>
          <w:color w:val="000000" w:themeColor="text1"/>
          <w:szCs w:val="20"/>
        </w:rPr>
        <w:t xml:space="preserve"> At the end of 2014, the number of West Bankers ad Gazans, as shown above (in the introduction), totaled</w:t>
      </w:r>
      <w:r w:rsidRPr="00D4643C">
        <w:rPr>
          <w:rFonts w:asciiTheme="majorBidi" w:hAnsiTheme="majorBidi" w:cstheme="majorBidi"/>
          <w:color w:val="000000" w:themeColor="text1"/>
          <w:szCs w:val="20"/>
          <w:lang w:val="en-GB"/>
        </w:rPr>
        <w:t xml:space="preserve"> 4.62 million. That means that the number of inhabitants has been increased approximately five times since 1967.</w:t>
      </w:r>
    </w:p>
  </w:footnote>
  <w:footnote w:id="175">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T</w:t>
      </w:r>
      <w:r>
        <w:rPr>
          <w:rFonts w:asciiTheme="majorBidi" w:hAnsiTheme="majorBidi" w:cstheme="majorBidi"/>
          <w:color w:val="000000" w:themeColor="text1"/>
          <w:szCs w:val="20"/>
        </w:rPr>
        <w:t>his issue was discussed above, S</w:t>
      </w:r>
      <w:r w:rsidRPr="00D4643C">
        <w:rPr>
          <w:rFonts w:asciiTheme="majorBidi" w:hAnsiTheme="majorBidi" w:cstheme="majorBidi"/>
          <w:color w:val="000000" w:themeColor="text1"/>
          <w:szCs w:val="20"/>
        </w:rPr>
        <w:t>ection 1.</w:t>
      </w:r>
    </w:p>
  </w:footnote>
  <w:footnote w:id="176">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Art. XXVII, </w:t>
      </w:r>
      <w:proofErr w:type="spellStart"/>
      <w:r>
        <w:rPr>
          <w:rFonts w:asciiTheme="majorBidi" w:hAnsiTheme="majorBidi" w:cstheme="majorBidi"/>
          <w:color w:val="000000" w:themeColor="text1"/>
          <w:szCs w:val="20"/>
        </w:rPr>
        <w:t>para</w:t>
      </w:r>
      <w:proofErr w:type="spellEnd"/>
      <w:r>
        <w:rPr>
          <w:rFonts w:asciiTheme="majorBidi" w:hAnsiTheme="majorBidi" w:cstheme="majorBidi"/>
          <w:color w:val="000000" w:themeColor="text1"/>
          <w:szCs w:val="20"/>
        </w:rPr>
        <w:t>. 2; and Annex II, Art.</w:t>
      </w:r>
      <w:r w:rsidRPr="00D4643C">
        <w:rPr>
          <w:rFonts w:asciiTheme="majorBidi" w:hAnsiTheme="majorBidi" w:cstheme="majorBidi"/>
          <w:color w:val="000000" w:themeColor="text1"/>
          <w:szCs w:val="20"/>
        </w:rPr>
        <w:t xml:space="preserve"> 28, </w:t>
      </w:r>
      <w:proofErr w:type="spellStart"/>
      <w:r w:rsidRPr="00D4643C">
        <w:rPr>
          <w:rFonts w:asciiTheme="majorBidi" w:hAnsiTheme="majorBidi" w:cstheme="majorBidi"/>
          <w:color w:val="000000" w:themeColor="text1"/>
          <w:szCs w:val="20"/>
        </w:rPr>
        <w:t>para</w:t>
      </w:r>
      <w:proofErr w:type="spellEnd"/>
      <w:r w:rsidRPr="00D4643C">
        <w:rPr>
          <w:rFonts w:asciiTheme="majorBidi" w:hAnsiTheme="majorBidi" w:cstheme="majorBidi"/>
          <w:color w:val="000000" w:themeColor="text1"/>
          <w:szCs w:val="20"/>
        </w:rPr>
        <w:t>. 3.</w:t>
      </w:r>
    </w:p>
  </w:footnote>
  <w:footnote w:id="17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U</w:t>
      </w:r>
      <w:r>
        <w:rPr>
          <w:rFonts w:asciiTheme="majorBidi" w:hAnsiTheme="majorBidi" w:cstheme="majorBidi"/>
          <w:color w:val="000000" w:themeColor="text1"/>
          <w:szCs w:val="20"/>
        </w:rPr>
        <w:t xml:space="preserve">nited </w:t>
      </w:r>
      <w:r w:rsidRPr="00D4643C">
        <w:rPr>
          <w:rFonts w:asciiTheme="majorBidi" w:hAnsiTheme="majorBidi" w:cstheme="majorBidi"/>
          <w:color w:val="000000" w:themeColor="text1"/>
          <w:szCs w:val="20"/>
        </w:rPr>
        <w:t>N</w:t>
      </w:r>
      <w:r>
        <w:rPr>
          <w:rFonts w:asciiTheme="majorBidi" w:hAnsiTheme="majorBidi" w:cstheme="majorBidi"/>
          <w:color w:val="000000" w:themeColor="text1"/>
          <w:szCs w:val="20"/>
        </w:rPr>
        <w:t>ations</w:t>
      </w:r>
      <w:r w:rsidRPr="00D4643C">
        <w:rPr>
          <w:rFonts w:asciiTheme="majorBidi" w:hAnsiTheme="majorBidi" w:cstheme="majorBidi"/>
          <w:color w:val="000000" w:themeColor="text1"/>
          <w:szCs w:val="20"/>
        </w:rPr>
        <w:t xml:space="preserve"> General Assembly, </w:t>
      </w:r>
      <w:r w:rsidRPr="00D4643C">
        <w:rPr>
          <w:rFonts w:asciiTheme="majorBidi" w:hAnsiTheme="majorBidi" w:cstheme="majorBidi"/>
          <w:i/>
          <w:iCs/>
          <w:color w:val="000000" w:themeColor="text1"/>
          <w:szCs w:val="20"/>
        </w:rPr>
        <w:t>Persons Displaced as a Result of the June 1967 and Subsequent Hostilities</w:t>
      </w:r>
      <w:r w:rsidRPr="00D4643C">
        <w:rPr>
          <w:rFonts w:asciiTheme="majorBidi" w:hAnsiTheme="majorBidi" w:cstheme="majorBidi"/>
          <w:color w:val="000000" w:themeColor="text1"/>
          <w:szCs w:val="20"/>
        </w:rPr>
        <w:t>, U</w:t>
      </w:r>
      <w:r>
        <w:rPr>
          <w:rFonts w:asciiTheme="majorBidi" w:hAnsiTheme="majorBidi" w:cstheme="majorBidi"/>
          <w:color w:val="000000" w:themeColor="text1"/>
          <w:szCs w:val="20"/>
        </w:rPr>
        <w:t>N Doc. A/RES/59/118, 15 Dec.</w:t>
      </w:r>
      <w:r w:rsidRPr="00D4643C">
        <w:rPr>
          <w:rFonts w:asciiTheme="majorBidi" w:hAnsiTheme="majorBidi" w:cstheme="majorBidi"/>
          <w:color w:val="000000" w:themeColor="text1"/>
          <w:szCs w:val="20"/>
        </w:rPr>
        <w:t xml:space="preserve"> 2004. In this resolution</w:t>
      </w:r>
      <w:r>
        <w:rPr>
          <w:rFonts w:asciiTheme="majorBidi" w:hAnsiTheme="majorBidi" w:cstheme="majorBidi"/>
          <w:color w:val="000000" w:themeColor="text1"/>
          <w:szCs w:val="20"/>
        </w:rPr>
        <w:t xml:space="preserve"> (in the preamble)</w:t>
      </w:r>
      <w:r w:rsidRPr="00D4643C">
        <w:rPr>
          <w:rFonts w:asciiTheme="majorBidi" w:hAnsiTheme="majorBidi" w:cstheme="majorBidi"/>
          <w:color w:val="000000" w:themeColor="text1"/>
          <w:szCs w:val="20"/>
        </w:rPr>
        <w:t xml:space="preserve">, the Assembly took “note of the relevant provisions of the Declaration of Principles on Interim Self-Government Arrangements of 1993 [between Israel and the PLO] with regard to the modalities for the admission of persons displaced in 1967, and concerned that the process agreed upon </w:t>
      </w:r>
      <w:r w:rsidRPr="00D4643C">
        <w:rPr>
          <w:rFonts w:asciiTheme="majorBidi" w:hAnsiTheme="majorBidi" w:cstheme="majorBidi"/>
          <w:i/>
          <w:iCs/>
          <w:color w:val="000000" w:themeColor="text1"/>
          <w:szCs w:val="20"/>
        </w:rPr>
        <w:t>has not yet been effected</w:t>
      </w:r>
      <w:r>
        <w:rPr>
          <w:rFonts w:asciiTheme="majorBidi" w:hAnsiTheme="majorBidi" w:cstheme="majorBidi"/>
          <w:color w:val="000000" w:themeColor="text1"/>
          <w:szCs w:val="20"/>
        </w:rPr>
        <w:t>” (</w:t>
      </w:r>
      <w:r w:rsidRPr="00D4643C">
        <w:rPr>
          <w:rFonts w:asciiTheme="majorBidi" w:hAnsiTheme="majorBidi" w:cstheme="majorBidi"/>
          <w:color w:val="000000" w:themeColor="text1"/>
          <w:szCs w:val="20"/>
        </w:rPr>
        <w:t>emphasis added).</w:t>
      </w:r>
    </w:p>
  </w:footnote>
  <w:footnote w:id="17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U</w:t>
      </w:r>
      <w:r>
        <w:rPr>
          <w:rFonts w:asciiTheme="majorBidi" w:hAnsiTheme="majorBidi" w:cstheme="majorBidi"/>
          <w:color w:val="000000" w:themeColor="text1"/>
          <w:szCs w:val="20"/>
        </w:rPr>
        <w:t xml:space="preserve">nited </w:t>
      </w:r>
      <w:r w:rsidRPr="00D4643C">
        <w:rPr>
          <w:rFonts w:asciiTheme="majorBidi" w:hAnsiTheme="majorBidi" w:cstheme="majorBidi"/>
          <w:color w:val="000000" w:themeColor="text1"/>
          <w:szCs w:val="20"/>
        </w:rPr>
        <w:t>N</w:t>
      </w:r>
      <w:r>
        <w:rPr>
          <w:rFonts w:asciiTheme="majorBidi" w:hAnsiTheme="majorBidi" w:cstheme="majorBidi"/>
          <w:color w:val="000000" w:themeColor="text1"/>
          <w:szCs w:val="20"/>
        </w:rPr>
        <w:t>ations</w:t>
      </w:r>
      <w:r w:rsidRPr="00D4643C">
        <w:rPr>
          <w:rFonts w:asciiTheme="majorBidi" w:hAnsiTheme="majorBidi" w:cstheme="majorBidi"/>
          <w:color w:val="000000" w:themeColor="text1"/>
          <w:szCs w:val="20"/>
        </w:rPr>
        <w:t xml:space="preserve"> General Assembly, </w:t>
      </w:r>
      <w:r w:rsidRPr="00D4643C">
        <w:rPr>
          <w:rFonts w:asciiTheme="majorBidi" w:hAnsiTheme="majorBidi" w:cstheme="majorBidi"/>
          <w:i/>
          <w:iCs/>
          <w:color w:val="000000" w:themeColor="text1"/>
          <w:szCs w:val="20"/>
        </w:rPr>
        <w:t>Persons Displaced as a Result of the June 1967 and Subsequent Hostilities</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UN Doc. A/RES/56/54, 14 Feb.</w:t>
      </w:r>
      <w:r w:rsidRPr="00D4643C">
        <w:rPr>
          <w:rFonts w:asciiTheme="majorBidi" w:hAnsiTheme="majorBidi" w:cstheme="majorBidi"/>
          <w:color w:val="000000" w:themeColor="text1"/>
          <w:szCs w:val="20"/>
        </w:rPr>
        <w:t xml:space="preserve"> 2002, </w:t>
      </w:r>
      <w:proofErr w:type="spellStart"/>
      <w:r w:rsidRPr="00D4643C">
        <w:rPr>
          <w:rFonts w:asciiTheme="majorBidi" w:hAnsiTheme="majorBidi" w:cstheme="majorBidi"/>
          <w:color w:val="000000" w:themeColor="text1"/>
          <w:szCs w:val="20"/>
        </w:rPr>
        <w:t>para</w:t>
      </w:r>
      <w:proofErr w:type="spellEnd"/>
      <w:r w:rsidRPr="00D4643C">
        <w:rPr>
          <w:rFonts w:asciiTheme="majorBidi" w:hAnsiTheme="majorBidi" w:cstheme="majorBidi"/>
          <w:color w:val="000000" w:themeColor="text1"/>
          <w:szCs w:val="20"/>
        </w:rPr>
        <w:t>. 3.</w:t>
      </w:r>
    </w:p>
  </w:footnote>
  <w:footnote w:id="179">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U</w:t>
      </w:r>
      <w:r>
        <w:rPr>
          <w:rFonts w:asciiTheme="majorBidi" w:hAnsiTheme="majorBidi" w:cstheme="majorBidi"/>
          <w:color w:val="000000" w:themeColor="text1"/>
          <w:szCs w:val="20"/>
        </w:rPr>
        <w:t xml:space="preserve">nited </w:t>
      </w:r>
      <w:r w:rsidRPr="00D4643C">
        <w:rPr>
          <w:rFonts w:asciiTheme="majorBidi" w:hAnsiTheme="majorBidi" w:cstheme="majorBidi"/>
          <w:color w:val="000000" w:themeColor="text1"/>
          <w:szCs w:val="20"/>
        </w:rPr>
        <w:t>N</w:t>
      </w:r>
      <w:r>
        <w:rPr>
          <w:rFonts w:asciiTheme="majorBidi" w:hAnsiTheme="majorBidi" w:cstheme="majorBidi"/>
          <w:color w:val="000000" w:themeColor="text1"/>
          <w:szCs w:val="20"/>
        </w:rPr>
        <w:t>ations</w:t>
      </w:r>
      <w:r w:rsidRPr="00D4643C">
        <w:rPr>
          <w:rFonts w:asciiTheme="majorBidi" w:hAnsiTheme="majorBidi" w:cstheme="majorBidi"/>
          <w:color w:val="000000" w:themeColor="text1"/>
          <w:szCs w:val="20"/>
        </w:rPr>
        <w:t xml:space="preserve"> General Assembly, </w:t>
      </w:r>
      <w:r w:rsidRPr="00D4643C">
        <w:rPr>
          <w:rFonts w:asciiTheme="majorBidi" w:hAnsiTheme="majorBidi" w:cstheme="majorBidi"/>
          <w:i/>
          <w:iCs/>
          <w:color w:val="000000" w:themeColor="text1"/>
          <w:szCs w:val="20"/>
        </w:rPr>
        <w:t>Report of the Commissioner-General of the United Nations Relief and Works Agency for Palestine Refugees in the Near East, 1 January-31 December 2013</w:t>
      </w:r>
      <w:r w:rsidRPr="00D4643C">
        <w:rPr>
          <w:rFonts w:asciiTheme="majorBidi" w:hAnsiTheme="majorBidi" w:cstheme="majorBidi"/>
          <w:color w:val="000000" w:themeColor="text1"/>
          <w:szCs w:val="20"/>
        </w:rPr>
        <w:t>, New York, 2014, UN Doc. A/69/13. In this report, it was stated that “UNRWA continued providing humanitarian assistance to […] persons displaced by the 1967 and subsequent hostilities”.</w:t>
      </w:r>
    </w:p>
  </w:footnote>
  <w:footnote w:id="180">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UNHCR, </w:t>
      </w:r>
      <w:r w:rsidRPr="00D4643C">
        <w:rPr>
          <w:rFonts w:asciiTheme="majorBidi" w:hAnsiTheme="majorBidi" w:cstheme="majorBidi"/>
          <w:i/>
          <w:iCs/>
          <w:color w:val="000000" w:themeColor="text1"/>
          <w:szCs w:val="20"/>
        </w:rPr>
        <w:t>Revised Statement on Article 1D of the 1951 Convention</w:t>
      </w:r>
      <w:r w:rsidRPr="00D4643C">
        <w:rPr>
          <w:rFonts w:asciiTheme="majorBidi" w:hAnsiTheme="majorBidi" w:cstheme="majorBidi"/>
          <w:color w:val="000000" w:themeColor="text1"/>
          <w:szCs w:val="20"/>
        </w:rPr>
        <w:t>, Geneva, 2009, 7-8.</w:t>
      </w:r>
    </w:p>
  </w:footnote>
  <w:footnote w:id="181">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General Assembly Resolution 59/118 (above </w:t>
      </w:r>
      <w:r>
        <w:rPr>
          <w:rFonts w:asciiTheme="majorBidi" w:hAnsiTheme="majorBidi" w:cstheme="majorBidi"/>
          <w:color w:val="000000" w:themeColor="text1"/>
          <w:szCs w:val="20"/>
        </w:rPr>
        <w:t>footnote</w:t>
      </w:r>
      <w:r w:rsidRPr="00D4643C">
        <w:rPr>
          <w:rFonts w:asciiTheme="majorBidi" w:hAnsiTheme="majorBidi" w:cstheme="majorBidi"/>
          <w:color w:val="000000" w:themeColor="text1"/>
          <w:szCs w:val="20"/>
        </w:rPr>
        <w:t xml:space="preserve">) reaffirmed </w:t>
      </w:r>
      <w:r>
        <w:rPr>
          <w:rFonts w:asciiTheme="majorBidi" w:hAnsiTheme="majorBidi" w:cstheme="majorBidi"/>
          <w:color w:val="000000" w:themeColor="text1"/>
          <w:szCs w:val="20"/>
        </w:rPr>
        <w:t>(</w:t>
      </w:r>
      <w:proofErr w:type="spellStart"/>
      <w:r>
        <w:rPr>
          <w:rFonts w:asciiTheme="majorBidi" w:hAnsiTheme="majorBidi" w:cstheme="majorBidi"/>
          <w:color w:val="000000" w:themeColor="text1"/>
          <w:szCs w:val="20"/>
        </w:rPr>
        <w:t>para</w:t>
      </w:r>
      <w:proofErr w:type="spellEnd"/>
      <w:r>
        <w:rPr>
          <w:rFonts w:asciiTheme="majorBidi" w:hAnsiTheme="majorBidi" w:cstheme="majorBidi"/>
          <w:color w:val="000000" w:themeColor="text1"/>
          <w:szCs w:val="20"/>
        </w:rPr>
        <w:t xml:space="preserve">. 1) </w:t>
      </w:r>
      <w:r w:rsidRPr="00D4643C">
        <w:rPr>
          <w:rFonts w:asciiTheme="majorBidi" w:hAnsiTheme="majorBidi" w:cstheme="majorBidi"/>
          <w:color w:val="000000" w:themeColor="text1"/>
          <w:szCs w:val="20"/>
        </w:rPr>
        <w:t xml:space="preserve">“the right of all persons displaced as a result of the June 1967 and subsequent hostilities to return to their homes or former places of residence </w:t>
      </w:r>
      <w:r w:rsidRPr="00D4643C">
        <w:rPr>
          <w:rFonts w:asciiTheme="majorBidi" w:hAnsiTheme="majorBidi" w:cstheme="majorBidi"/>
          <w:i/>
          <w:iCs/>
          <w:color w:val="000000" w:themeColor="text1"/>
          <w:szCs w:val="20"/>
        </w:rPr>
        <w:t>in the territories occupied by Israel since 1967</w:t>
      </w:r>
      <w:r>
        <w:rPr>
          <w:rFonts w:asciiTheme="majorBidi" w:hAnsiTheme="majorBidi" w:cstheme="majorBidi"/>
          <w:color w:val="000000" w:themeColor="text1"/>
          <w:szCs w:val="20"/>
        </w:rPr>
        <w:t>” (</w:t>
      </w:r>
      <w:r w:rsidRPr="00D4643C">
        <w:rPr>
          <w:rFonts w:asciiTheme="majorBidi" w:hAnsiTheme="majorBidi" w:cstheme="majorBidi"/>
          <w:color w:val="000000" w:themeColor="text1"/>
          <w:szCs w:val="20"/>
        </w:rPr>
        <w:t>emphasis added)</w:t>
      </w:r>
    </w:p>
  </w:footnote>
  <w:footnote w:id="18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When the 1967 displaced person “returns to the Palestinian territory occupied by Israel since 1967, […] he or she would lose his or her refugee character”. UNHCR, </w:t>
      </w:r>
      <w:r w:rsidRPr="00D4643C">
        <w:rPr>
          <w:rFonts w:asciiTheme="majorBidi" w:hAnsiTheme="majorBidi" w:cstheme="majorBidi"/>
          <w:i/>
          <w:iCs/>
          <w:color w:val="000000" w:themeColor="text1"/>
          <w:szCs w:val="20"/>
        </w:rPr>
        <w:t>Revised Statement</w:t>
      </w:r>
      <w:r w:rsidRPr="00D4643C">
        <w:rPr>
          <w:rFonts w:asciiTheme="majorBidi" w:hAnsiTheme="majorBidi" w:cstheme="majorBidi"/>
          <w:color w:val="000000" w:themeColor="text1"/>
          <w:szCs w:val="20"/>
        </w:rPr>
        <w:t xml:space="preserve">, above </w:t>
      </w:r>
      <w:r>
        <w:rPr>
          <w:rFonts w:asciiTheme="majorBidi" w:hAnsiTheme="majorBidi" w:cstheme="majorBidi"/>
          <w:color w:val="000000" w:themeColor="text1"/>
          <w:szCs w:val="20"/>
        </w:rPr>
        <w:t>footnote</w:t>
      </w:r>
      <w:r w:rsidRPr="00D4643C">
        <w:rPr>
          <w:rFonts w:asciiTheme="majorBidi" w:hAnsiTheme="majorBidi" w:cstheme="majorBidi"/>
          <w:color w:val="000000" w:themeColor="text1"/>
          <w:szCs w:val="20"/>
        </w:rPr>
        <w:t>, 8.</w:t>
      </w:r>
    </w:p>
  </w:footnote>
  <w:footnote w:id="183">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Accordi</w:t>
      </w:r>
      <w:r>
        <w:rPr>
          <w:rFonts w:asciiTheme="majorBidi" w:hAnsiTheme="majorBidi" w:cstheme="majorBidi"/>
          <w:color w:val="000000" w:themeColor="text1"/>
          <w:szCs w:val="20"/>
        </w:rPr>
        <w:t>ng to various legislative instruments</w:t>
      </w:r>
      <w:r w:rsidRPr="00D4643C">
        <w:rPr>
          <w:rFonts w:asciiTheme="majorBidi" w:hAnsiTheme="majorBidi" w:cstheme="majorBidi"/>
          <w:color w:val="000000" w:themeColor="text1"/>
          <w:szCs w:val="20"/>
        </w:rPr>
        <w:t xml:space="preserve"> applicable in the West Bank and Gaza, all the 1967 territory natives and their decedents, regardless of their place of residence now</w:t>
      </w:r>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are deemed Palestinian citizens for the purposes of employment, election, and residency. See legislation cited above, </w:t>
      </w:r>
      <w:r>
        <w:rPr>
          <w:rFonts w:asciiTheme="majorBidi" w:hAnsiTheme="majorBidi" w:cstheme="majorBidi"/>
          <w:color w:val="000000" w:themeColor="text1"/>
          <w:szCs w:val="20"/>
        </w:rPr>
        <w:t>footnote</w:t>
      </w:r>
      <w:r w:rsidRPr="00D4643C">
        <w:rPr>
          <w:rFonts w:asciiTheme="majorBidi" w:hAnsiTheme="majorBidi" w:cstheme="majorBidi"/>
          <w:color w:val="000000" w:themeColor="text1"/>
          <w:szCs w:val="20"/>
        </w:rPr>
        <w:t>s.</w:t>
      </w:r>
    </w:p>
  </w:footnote>
  <w:footnote w:id="184">
    <w:p w:rsidR="00A7663B" w:rsidRPr="00D4643C" w:rsidRDefault="00A7663B" w:rsidP="00D4643C">
      <w:pPr>
        <w:pStyle w:val="Heading2"/>
        <w:shd w:val="clear" w:color="auto" w:fill="FFFFFF"/>
        <w:spacing w:before="0" w:beforeAutospacing="0" w:after="0" w:afterAutospacing="0"/>
        <w:jc w:val="both"/>
        <w:rPr>
          <w:rFonts w:asciiTheme="majorBidi" w:hAnsiTheme="majorBidi" w:cstheme="majorBidi"/>
          <w:color w:val="000000" w:themeColor="text1"/>
          <w:sz w:val="20"/>
          <w:szCs w:val="20"/>
          <w:lang w:val="en-US" w:eastAsia="en-US"/>
        </w:rPr>
      </w:pPr>
      <w:r w:rsidRPr="00D4643C">
        <w:rPr>
          <w:rStyle w:val="FootnoteReference"/>
          <w:rFonts w:asciiTheme="majorBidi" w:hAnsiTheme="majorBidi" w:cstheme="majorBidi"/>
          <w:b w:val="0"/>
          <w:bCs w:val="0"/>
          <w:color w:val="000000" w:themeColor="text1"/>
          <w:sz w:val="20"/>
          <w:szCs w:val="20"/>
        </w:rPr>
        <w:footnoteRef/>
      </w:r>
      <w:r w:rsidRPr="00D4643C">
        <w:rPr>
          <w:rFonts w:asciiTheme="majorBidi" w:hAnsiTheme="majorBidi" w:cstheme="majorBidi"/>
          <w:b w:val="0"/>
          <w:bCs w:val="0"/>
          <w:color w:val="000000" w:themeColor="text1"/>
          <w:sz w:val="20"/>
          <w:szCs w:val="20"/>
        </w:rPr>
        <w:t xml:space="preserve"> M. </w:t>
      </w:r>
      <w:proofErr w:type="spellStart"/>
      <w:r w:rsidRPr="00D4643C">
        <w:rPr>
          <w:rFonts w:asciiTheme="majorBidi" w:hAnsiTheme="majorBidi" w:cstheme="majorBidi"/>
          <w:b w:val="0"/>
          <w:bCs w:val="0"/>
          <w:color w:val="000000" w:themeColor="text1"/>
          <w:sz w:val="20"/>
          <w:szCs w:val="20"/>
        </w:rPr>
        <w:t>Qafisheh</w:t>
      </w:r>
      <w:proofErr w:type="spellEnd"/>
      <w:r w:rsidRPr="00D4643C">
        <w:rPr>
          <w:rFonts w:asciiTheme="majorBidi" w:hAnsiTheme="majorBidi" w:cstheme="majorBidi"/>
          <w:b w:val="0"/>
          <w:bCs w:val="0"/>
          <w:color w:val="000000" w:themeColor="text1"/>
          <w:sz w:val="20"/>
          <w:szCs w:val="20"/>
        </w:rPr>
        <w:t>, “Bases for the Palestinian Refugees’ Right of Return under International Law: Beyond General Assembly Resolution 194”</w:t>
      </w:r>
      <w:r w:rsidRPr="00D4643C">
        <w:rPr>
          <w:rFonts w:asciiTheme="majorBidi" w:hAnsiTheme="majorBidi" w:cstheme="majorBidi"/>
          <w:b w:val="0"/>
          <w:bCs w:val="0"/>
          <w:color w:val="000000" w:themeColor="text1"/>
          <w:sz w:val="20"/>
          <w:szCs w:val="20"/>
          <w:lang w:val="en-US" w:eastAsia="en-US"/>
        </w:rPr>
        <w:t>,</w:t>
      </w:r>
      <w:r w:rsidRPr="00D4643C">
        <w:rPr>
          <w:rFonts w:asciiTheme="majorBidi" w:hAnsiTheme="majorBidi" w:cstheme="majorBidi"/>
          <w:color w:val="000000" w:themeColor="text1"/>
          <w:sz w:val="20"/>
          <w:szCs w:val="20"/>
          <w:lang w:val="en-US" w:eastAsia="en-US"/>
        </w:rPr>
        <w:t xml:space="preserve"> </w:t>
      </w:r>
      <w:r w:rsidRPr="00D4643C">
        <w:rPr>
          <w:rFonts w:asciiTheme="majorBidi" w:hAnsiTheme="majorBidi" w:cstheme="majorBidi"/>
          <w:b w:val="0"/>
          <w:bCs w:val="0"/>
          <w:i/>
          <w:iCs/>
          <w:color w:val="000000" w:themeColor="text1"/>
          <w:sz w:val="20"/>
          <w:szCs w:val="20"/>
          <w:lang w:val="en-US" w:eastAsia="en-US"/>
        </w:rPr>
        <w:t>Cambridge Journal of International and Comparative Law</w:t>
      </w:r>
      <w:r w:rsidRPr="00D4643C">
        <w:rPr>
          <w:rFonts w:asciiTheme="majorBidi" w:hAnsiTheme="majorBidi" w:cstheme="majorBidi"/>
          <w:b w:val="0"/>
          <w:bCs w:val="0"/>
          <w:color w:val="000000" w:themeColor="text1"/>
          <w:sz w:val="20"/>
          <w:szCs w:val="20"/>
          <w:lang w:val="en-US" w:eastAsia="en-US"/>
        </w:rPr>
        <w:t>, 26 November 2012, available at: http://cjicl.org.uk (visited 12 Sep. 2015).</w:t>
      </w:r>
    </w:p>
  </w:footnote>
  <w:footnote w:id="185">
    <w:p w:rsidR="00A7663B" w:rsidRPr="00D4643C" w:rsidRDefault="00A7663B" w:rsidP="00D4643C">
      <w:pPr>
        <w:pStyle w:val="FootnoteText"/>
        <w:jc w:val="both"/>
        <w:rPr>
          <w:rFonts w:asciiTheme="majorBid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In this case, the “State of Palestine” (</w:t>
      </w:r>
      <w:r>
        <w:rPr>
          <w:rFonts w:asciiTheme="majorBidi" w:hAnsiTheme="majorBidi" w:cstheme="majorBidi"/>
          <w:color w:val="000000" w:themeColor="text1"/>
          <w:szCs w:val="20"/>
        </w:rPr>
        <w:t>i.e. West Bank and Gaza) would be one</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 xml:space="preserve">of two </w:t>
      </w:r>
      <w:r w:rsidRPr="00D4643C">
        <w:rPr>
          <w:rFonts w:asciiTheme="majorBidi" w:hAnsiTheme="majorBidi" w:cstheme="majorBidi"/>
          <w:color w:val="000000" w:themeColor="text1"/>
          <w:szCs w:val="20"/>
        </w:rPr>
        <w:t xml:space="preserve">successor </w:t>
      </w:r>
      <w:r>
        <w:rPr>
          <w:rFonts w:asciiTheme="majorBidi" w:hAnsiTheme="majorBidi" w:cstheme="majorBidi"/>
          <w:color w:val="000000" w:themeColor="text1"/>
          <w:szCs w:val="20"/>
        </w:rPr>
        <w:t xml:space="preserve">States </w:t>
      </w:r>
      <w:r w:rsidRPr="00D4643C">
        <w:rPr>
          <w:rFonts w:asciiTheme="majorBidi" w:hAnsiTheme="majorBidi" w:cstheme="majorBidi"/>
          <w:color w:val="000000" w:themeColor="text1"/>
          <w:szCs w:val="20"/>
        </w:rPr>
        <w:t>of the predecessor “Palestine” as e</w:t>
      </w:r>
      <w:r>
        <w:rPr>
          <w:rFonts w:asciiTheme="majorBidi" w:hAnsiTheme="majorBidi" w:cstheme="majorBidi"/>
          <w:color w:val="000000" w:themeColor="text1"/>
          <w:szCs w:val="20"/>
        </w:rPr>
        <w:t>xisted under the British rule</w:t>
      </w:r>
      <w:r w:rsidRPr="00D4643C">
        <w:rPr>
          <w:rFonts w:asciiTheme="majorBidi" w:hAnsiTheme="majorBidi" w:cstheme="majorBidi"/>
          <w:color w:val="000000" w:themeColor="text1"/>
          <w:szCs w:val="20"/>
        </w:rPr>
        <w:t xml:space="preserve"> (the other succeeding State is “Israel”). The State of Palestine and the State of Israel are both under similar obligation vis-à-vis the individuals who held Palestinian citizenship before 15 May 1948, depending on the individuals’ place of residence prior </w:t>
      </w:r>
      <w:r>
        <w:rPr>
          <w:rFonts w:asciiTheme="majorBidi" w:hAnsiTheme="majorBidi" w:cstheme="majorBidi"/>
          <w:color w:val="000000" w:themeColor="text1"/>
          <w:szCs w:val="20"/>
        </w:rPr>
        <w:t>to that date. Although par.</w:t>
      </w:r>
      <w:r w:rsidRPr="00D4643C">
        <w:rPr>
          <w:rFonts w:asciiTheme="majorBidi" w:hAnsiTheme="majorBidi" w:cstheme="majorBidi"/>
          <w:color w:val="000000" w:themeColor="text1"/>
          <w:szCs w:val="20"/>
        </w:rPr>
        <w:t xml:space="preserve"> 1 of Art. 8 of the </w:t>
      </w:r>
      <w:r w:rsidRPr="00D4643C">
        <w:rPr>
          <w:rFonts w:asciiTheme="majorBidi" w:hAnsiTheme="majorBidi" w:cstheme="majorBidi"/>
          <w:color w:val="000000" w:themeColor="text1"/>
          <w:szCs w:val="20"/>
          <w:lang w:val="en-GB"/>
        </w:rPr>
        <w:t xml:space="preserve">International Law Commission’s </w:t>
      </w:r>
      <w:r w:rsidRPr="00D4643C">
        <w:rPr>
          <w:rFonts w:asciiTheme="majorBidi" w:hAnsiTheme="majorBidi" w:cstheme="majorBidi"/>
          <w:i/>
          <w:iCs/>
          <w:color w:val="000000" w:themeColor="text1"/>
          <w:szCs w:val="20"/>
          <w:lang w:val="en-GB"/>
        </w:rPr>
        <w:t>Draft Articles on Nationality of Natural Persons in relation to the Succession of States</w:t>
      </w:r>
      <w:r w:rsidRPr="00D4643C">
        <w:rPr>
          <w:rFonts w:asciiTheme="majorBidi" w:hAnsiTheme="majorBidi" w:cstheme="majorBidi"/>
          <w:color w:val="000000" w:themeColor="text1"/>
          <w:szCs w:val="20"/>
          <w:lang w:val="en-GB"/>
        </w:rPr>
        <w:t xml:space="preserve"> (above </w:t>
      </w:r>
      <w:r>
        <w:rPr>
          <w:rFonts w:asciiTheme="majorBidi" w:hAnsiTheme="majorBidi" w:cstheme="majorBidi"/>
          <w:color w:val="000000" w:themeColor="text1"/>
          <w:szCs w:val="20"/>
          <w:lang w:val="en-GB"/>
        </w:rPr>
        <w:t>footnote</w:t>
      </w:r>
      <w:r w:rsidRPr="00D4643C">
        <w:rPr>
          <w:rFonts w:asciiTheme="majorBidi" w:hAnsiTheme="majorBidi" w:cstheme="majorBidi"/>
          <w:color w:val="000000" w:themeColor="text1"/>
          <w:szCs w:val="20"/>
          <w:lang w:val="en-GB"/>
        </w:rPr>
        <w:t xml:space="preserve">) does not oblige the successor State </w:t>
      </w:r>
      <w:r w:rsidRPr="00D4643C">
        <w:rPr>
          <w:rFonts w:asciiTheme="majorBidi" w:hAnsiTheme="majorBidi" w:cstheme="majorBidi"/>
          <w:color w:val="000000" w:themeColor="text1"/>
          <w:szCs w:val="20"/>
        </w:rPr>
        <w:t>“to attribute its nationality to persons concerned if they have their habitual residence in another State and also have the nationality of tha</w:t>
      </w:r>
      <w:r>
        <w:rPr>
          <w:rFonts w:asciiTheme="majorBidi" w:hAnsiTheme="majorBidi" w:cstheme="majorBidi"/>
          <w:color w:val="000000" w:themeColor="text1"/>
          <w:szCs w:val="20"/>
        </w:rPr>
        <w:t xml:space="preserve">t or any other State”; </w:t>
      </w:r>
      <w:proofErr w:type="spellStart"/>
      <w:r>
        <w:rPr>
          <w:rFonts w:asciiTheme="majorBidi" w:hAnsiTheme="majorBidi" w:cstheme="majorBidi"/>
          <w:color w:val="000000" w:themeColor="text1"/>
          <w:szCs w:val="20"/>
        </w:rPr>
        <w:t>para</w:t>
      </w:r>
      <w:proofErr w:type="spellEnd"/>
      <w:r>
        <w:rPr>
          <w:rFonts w:asciiTheme="majorBidi" w:hAnsiTheme="majorBidi" w:cstheme="majorBidi"/>
          <w:color w:val="000000" w:themeColor="text1"/>
          <w:szCs w:val="20"/>
        </w:rPr>
        <w:t>.</w:t>
      </w:r>
      <w:r w:rsidRPr="00D4643C">
        <w:rPr>
          <w:rFonts w:asciiTheme="majorBidi" w:hAnsiTheme="majorBidi" w:cstheme="majorBidi"/>
          <w:color w:val="000000" w:themeColor="text1"/>
          <w:szCs w:val="20"/>
        </w:rPr>
        <w:t xml:space="preserve"> 2 of the same article establishes a duty on the successor State to attribute its citizenship to persons residing abroad who “would otherwise become</w:t>
      </w:r>
      <w:r w:rsidRPr="00D4643C">
        <w:rPr>
          <w:rFonts w:asciiTheme="majorBidi" w:hAnsiTheme="majorBidi" w:cstheme="majorBidi"/>
          <w:color w:val="000000" w:themeColor="text1"/>
          <w:szCs w:val="20"/>
          <w:lang w:bidi="ar-SA"/>
        </w:rPr>
        <w:t xml:space="preserve"> stateless</w:t>
      </w:r>
      <w:r w:rsidRPr="00D4643C">
        <w:rPr>
          <w:rFonts w:asciiTheme="majorBidi" w:hAnsiTheme="majorBidi" w:cstheme="majorBidi"/>
          <w:color w:val="000000" w:themeColor="text1"/>
          <w:szCs w:val="20"/>
        </w:rPr>
        <w:t>”</w:t>
      </w:r>
      <w:r w:rsidRPr="00D4643C">
        <w:rPr>
          <w:rFonts w:asciiTheme="majorBidi" w:hAnsiTheme="majorBidi" w:cstheme="majorBidi"/>
          <w:color w:val="000000" w:themeColor="text1"/>
          <w:szCs w:val="20"/>
          <w:lang w:bidi="ar-SA"/>
        </w:rPr>
        <w:t>. In all cases, these persons have the right to opt for the citizenship of the succeeding State (in this case the State of Palestine) if they opt for its citizenship (</w:t>
      </w:r>
      <w:r w:rsidRPr="00D4643C">
        <w:rPr>
          <w:rFonts w:asciiTheme="majorBidi" w:hAnsiTheme="majorBidi" w:cstheme="majorBidi"/>
          <w:i/>
          <w:iCs/>
          <w:color w:val="000000" w:themeColor="text1"/>
          <w:szCs w:val="20"/>
          <w:lang w:bidi="ar-SA"/>
        </w:rPr>
        <w:t>ibid.</w:t>
      </w:r>
      <w:r w:rsidRPr="00D4643C">
        <w:rPr>
          <w:rFonts w:asciiTheme="majorBidi" w:hAnsiTheme="majorBidi" w:cstheme="majorBidi"/>
          <w:color w:val="000000" w:themeColor="text1"/>
          <w:szCs w:val="20"/>
          <w:lang w:bidi="ar-SA"/>
        </w:rPr>
        <w:t>, Art. 11).</w:t>
      </w:r>
    </w:p>
  </w:footnote>
  <w:footnote w:id="186">
    <w:p w:rsidR="00A7663B" w:rsidRPr="00D4643C" w:rsidRDefault="00A7663B" w:rsidP="00D4643C">
      <w:pPr>
        <w:pStyle w:val="FootnoteText"/>
        <w:jc w:val="both"/>
        <w:rPr>
          <w:rFonts w:asciiTheme="majorBid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M. </w:t>
      </w:r>
      <w:proofErr w:type="spellStart"/>
      <w:r w:rsidRPr="00D4643C">
        <w:rPr>
          <w:rFonts w:asciiTheme="majorBidi" w:hAnsiTheme="majorBidi" w:cstheme="majorBidi"/>
          <w:color w:val="000000" w:themeColor="text1"/>
          <w:szCs w:val="20"/>
        </w:rPr>
        <w:t>Masri</w:t>
      </w:r>
      <w:proofErr w:type="spellEnd"/>
      <w:r w:rsidRPr="00D4643C">
        <w:rPr>
          <w:rFonts w:asciiTheme="majorBidi" w:hAnsiTheme="majorBidi" w:cstheme="majorBidi"/>
          <w:color w:val="000000" w:themeColor="text1"/>
          <w:szCs w:val="20"/>
        </w:rPr>
        <w:t xml:space="preserve">, “The Implications of the Acquisition of a New Nationality for the Right of Return of Palestinian Refugees”, </w:t>
      </w:r>
      <w:r w:rsidRPr="00D4643C">
        <w:rPr>
          <w:rFonts w:asciiTheme="majorBidi" w:hAnsiTheme="majorBidi" w:cstheme="majorBidi"/>
          <w:i/>
          <w:iCs/>
          <w:color w:val="000000" w:themeColor="text1"/>
          <w:szCs w:val="20"/>
        </w:rPr>
        <w:t>Asian Journal of International Law</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5(2), 2015, 356-386.</w:t>
      </w:r>
    </w:p>
  </w:footnote>
  <w:footnote w:id="18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M. </w:t>
      </w:r>
      <w:proofErr w:type="spellStart"/>
      <w:r w:rsidRPr="00D4643C">
        <w:rPr>
          <w:rFonts w:asciiTheme="majorBidi" w:hAnsiTheme="majorBidi" w:cstheme="majorBidi"/>
          <w:color w:val="000000" w:themeColor="text1"/>
          <w:szCs w:val="20"/>
        </w:rPr>
        <w:t>Qafisheh</w:t>
      </w:r>
      <w:proofErr w:type="spellEnd"/>
      <w:r w:rsidRPr="00D4643C">
        <w:rPr>
          <w:rFonts w:asciiTheme="majorBidi" w:hAnsiTheme="majorBidi" w:cstheme="majorBidi"/>
          <w:color w:val="000000" w:themeColor="text1"/>
          <w:szCs w:val="20"/>
        </w:rPr>
        <w:t>, “Genesis of Citizenship in Palestine and I</w:t>
      </w:r>
      <w:r>
        <w:rPr>
          <w:rFonts w:asciiTheme="majorBidi" w:hAnsiTheme="majorBidi" w:cstheme="majorBidi"/>
          <w:color w:val="000000" w:themeColor="text1"/>
          <w:szCs w:val="20"/>
        </w:rPr>
        <w:t>srael: Palestinian Nationality D</w:t>
      </w:r>
      <w:r w:rsidRPr="00D4643C">
        <w:rPr>
          <w:rFonts w:asciiTheme="majorBidi" w:hAnsiTheme="majorBidi" w:cstheme="majorBidi"/>
          <w:color w:val="000000" w:themeColor="text1"/>
          <w:szCs w:val="20"/>
        </w:rPr>
        <w:t xml:space="preserve">uring the Period 1917-1925”, </w:t>
      </w:r>
      <w:r w:rsidRPr="00D4643C">
        <w:rPr>
          <w:rFonts w:asciiTheme="majorBidi" w:hAnsiTheme="majorBidi" w:cstheme="majorBidi"/>
          <w:i/>
          <w:iCs/>
          <w:color w:val="000000" w:themeColor="text1"/>
          <w:szCs w:val="20"/>
        </w:rPr>
        <w:t>Journal of the History of International Law</w:t>
      </w:r>
      <w:r w:rsidRPr="00D4643C">
        <w:rPr>
          <w:rFonts w:asciiTheme="majorBidi" w:hAnsiTheme="majorBidi" w:cstheme="majorBidi"/>
          <w:color w:val="000000" w:themeColor="text1"/>
          <w:szCs w:val="20"/>
          <w:shd w:val="clear" w:color="auto" w:fill="FFFFFF"/>
        </w:rPr>
        <w:t xml:space="preserve"> 11(1), 2009, 1-36, 33.</w:t>
      </w:r>
    </w:p>
  </w:footnote>
  <w:footnote w:id="18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United Nations Special Committee on Palestine, </w:t>
      </w:r>
      <w:r w:rsidRPr="00D4643C">
        <w:rPr>
          <w:rFonts w:asciiTheme="majorBidi" w:hAnsiTheme="majorBidi" w:cstheme="majorBidi"/>
          <w:i/>
          <w:iCs/>
          <w:color w:val="000000" w:themeColor="text1"/>
          <w:szCs w:val="20"/>
        </w:rPr>
        <w:t>Report to the General Assembly</w:t>
      </w:r>
      <w:r w:rsidRPr="00D4643C">
        <w:rPr>
          <w:rFonts w:asciiTheme="majorBidi" w:hAnsiTheme="majorBidi" w:cstheme="majorBidi"/>
          <w:color w:val="000000" w:themeColor="text1"/>
          <w:szCs w:val="20"/>
        </w:rPr>
        <w:t>, New York, UN Doc. A/364, 3 Sept. 1947, 54.</w:t>
      </w:r>
    </w:p>
  </w:footnote>
  <w:footnote w:id="189">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It was estimated that 43% of the Jewish qualified for naturalization in Palestine under the Mandate did not apply for Palestinian citizenship. Palestine Royal Commission, </w:t>
      </w:r>
      <w:r w:rsidRPr="00D4643C">
        <w:rPr>
          <w:rFonts w:asciiTheme="majorBidi" w:hAnsiTheme="majorBidi" w:cstheme="majorBidi"/>
          <w:i/>
          <w:iCs/>
          <w:color w:val="000000" w:themeColor="text1"/>
          <w:szCs w:val="20"/>
        </w:rPr>
        <w:t>Report Presented by the Secretary of State for the Colonies by Command of His Britannic Majesty</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 xml:space="preserve">London, </w:t>
      </w:r>
      <w:r w:rsidRPr="00D4643C">
        <w:rPr>
          <w:rFonts w:asciiTheme="majorBidi" w:hAnsiTheme="majorBidi" w:cstheme="majorBidi"/>
          <w:color w:val="000000" w:themeColor="text1"/>
          <w:szCs w:val="20"/>
        </w:rPr>
        <w:t>His M</w:t>
      </w:r>
      <w:r>
        <w:rPr>
          <w:rFonts w:asciiTheme="majorBidi" w:hAnsiTheme="majorBidi" w:cstheme="majorBidi"/>
          <w:color w:val="000000" w:themeColor="text1"/>
          <w:szCs w:val="20"/>
        </w:rPr>
        <w:t>ajesty Stationary Office</w:t>
      </w:r>
      <w:r w:rsidRPr="00D4643C">
        <w:rPr>
          <w:rFonts w:asciiTheme="majorBidi" w:hAnsiTheme="majorBidi" w:cstheme="majorBidi"/>
          <w:color w:val="000000" w:themeColor="text1"/>
          <w:szCs w:val="20"/>
        </w:rPr>
        <w:t>, 1937, 332.</w:t>
      </w:r>
    </w:p>
  </w:footnote>
  <w:footnote w:id="190">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Above, Introduction.</w:t>
      </w:r>
    </w:p>
  </w:footnote>
  <w:footnote w:id="191">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M. </w:t>
      </w:r>
      <w:proofErr w:type="spellStart"/>
      <w:r w:rsidRPr="00D4643C">
        <w:rPr>
          <w:rFonts w:asciiTheme="majorBidi" w:hAnsiTheme="majorBidi" w:cstheme="majorBidi"/>
          <w:color w:val="000000" w:themeColor="text1"/>
          <w:szCs w:val="20"/>
        </w:rPr>
        <w:t>Qafisheh</w:t>
      </w:r>
      <w:proofErr w:type="spellEnd"/>
      <w:r w:rsidRPr="00D4643C">
        <w:rPr>
          <w:rFonts w:asciiTheme="majorBidi" w:hAnsiTheme="majorBidi" w:cstheme="majorBidi"/>
          <w:color w:val="000000" w:themeColor="text1"/>
          <w:szCs w:val="20"/>
        </w:rPr>
        <w:t xml:space="preserve">, “Citizens of the State of Palestine and the Future of Palestinian Refugees: Legal and Political Scenarios”, in </w:t>
      </w:r>
      <w:proofErr w:type="spellStart"/>
      <w:r w:rsidRPr="00D4643C">
        <w:rPr>
          <w:rFonts w:asciiTheme="majorBidi" w:hAnsiTheme="majorBidi" w:cstheme="majorBidi"/>
          <w:color w:val="000000" w:themeColor="text1"/>
          <w:szCs w:val="20"/>
        </w:rPr>
        <w:t>Qafisheh</w:t>
      </w:r>
      <w:proofErr w:type="spellEnd"/>
      <w:r w:rsidRPr="00D4643C">
        <w:rPr>
          <w:rFonts w:asciiTheme="majorBidi" w:hAnsiTheme="majorBidi" w:cstheme="majorBidi"/>
          <w:color w:val="000000" w:themeColor="text1"/>
          <w:szCs w:val="20"/>
        </w:rPr>
        <w:t>,</w:t>
      </w:r>
      <w:r w:rsidRPr="00D4643C">
        <w:rPr>
          <w:rFonts w:asciiTheme="majorBidi" w:hAnsiTheme="majorBidi" w:cstheme="majorBidi"/>
          <w:i/>
          <w:iCs/>
          <w:color w:val="000000" w:themeColor="text1"/>
          <w:szCs w:val="20"/>
        </w:rPr>
        <w:t xml:space="preserve"> Palestine </w:t>
      </w:r>
      <w:r>
        <w:rPr>
          <w:rFonts w:asciiTheme="majorBidi" w:hAnsiTheme="majorBidi" w:cstheme="majorBidi"/>
          <w:i/>
          <w:iCs/>
          <w:color w:val="000000" w:themeColor="text1"/>
          <w:szCs w:val="20"/>
        </w:rPr>
        <w:t>Membership</w:t>
      </w:r>
      <w:r w:rsidRPr="00D4643C">
        <w:rPr>
          <w:rFonts w:asciiTheme="majorBidi" w:hAnsiTheme="majorBidi" w:cstheme="majorBidi"/>
          <w:color w:val="000000" w:themeColor="text1"/>
          <w:szCs w:val="20"/>
        </w:rPr>
        <w:t xml:space="preserve">, above </w:t>
      </w:r>
      <w:r>
        <w:rPr>
          <w:rFonts w:asciiTheme="majorBidi" w:hAnsiTheme="majorBidi" w:cstheme="majorBidi"/>
          <w:color w:val="000000" w:themeColor="text1"/>
          <w:szCs w:val="20"/>
        </w:rPr>
        <w:t>footnote 4</w:t>
      </w:r>
      <w:r w:rsidRPr="00D4643C">
        <w:rPr>
          <w:rFonts w:asciiTheme="majorBidi" w:hAnsiTheme="majorBidi" w:cstheme="majorBidi"/>
          <w:color w:val="000000" w:themeColor="text1"/>
          <w:szCs w:val="20"/>
        </w:rPr>
        <w:t>, 45-133, 97.</w:t>
      </w:r>
    </w:p>
  </w:footnote>
  <w:footnote w:id="19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Ibid.</w:t>
      </w:r>
    </w:p>
  </w:footnote>
  <w:footnote w:id="193">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Pr>
          <w:rFonts w:asciiTheme="majorBidi" w:hAnsiTheme="majorBidi" w:cstheme="majorBidi"/>
          <w:color w:val="000000" w:themeColor="text1"/>
          <w:szCs w:val="20"/>
        </w:rPr>
        <w:t xml:space="preserve"> </w:t>
      </w:r>
      <w:r w:rsidRPr="00BB3F4B">
        <w:rPr>
          <w:rFonts w:asciiTheme="majorBidi" w:hAnsiTheme="majorBidi" w:cstheme="majorBidi"/>
          <w:i/>
          <w:iCs/>
          <w:color w:val="000000" w:themeColor="text1"/>
          <w:szCs w:val="20"/>
        </w:rPr>
        <w:t>Ibid.</w:t>
      </w:r>
      <w:r w:rsidRPr="00D4643C">
        <w:rPr>
          <w:rFonts w:asciiTheme="majorBidi" w:hAnsiTheme="majorBidi" w:cstheme="majorBidi"/>
          <w:color w:val="000000" w:themeColor="text1"/>
          <w:szCs w:val="20"/>
        </w:rPr>
        <w:t>, 86-94.</w:t>
      </w:r>
    </w:p>
  </w:footnote>
  <w:footnote w:id="194">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Palestine Royal Commission, above </w:t>
      </w:r>
      <w:r>
        <w:rPr>
          <w:rFonts w:asciiTheme="majorBidi" w:hAnsiTheme="majorBidi" w:cstheme="majorBidi"/>
          <w:color w:val="000000" w:themeColor="text1"/>
          <w:szCs w:val="20"/>
        </w:rPr>
        <w:t>footnote 189</w:t>
      </w:r>
      <w:r w:rsidRPr="00D4643C">
        <w:rPr>
          <w:rFonts w:asciiTheme="majorBidi" w:hAnsiTheme="majorBidi" w:cstheme="majorBidi"/>
          <w:color w:val="000000" w:themeColor="text1"/>
          <w:szCs w:val="20"/>
        </w:rPr>
        <w:t>, 21.</w:t>
      </w:r>
    </w:p>
  </w:footnote>
  <w:footnote w:id="195">
    <w:p w:rsidR="00A7663B" w:rsidRPr="00D4643C" w:rsidRDefault="00A7663B" w:rsidP="00D4643C">
      <w:pPr>
        <w:pStyle w:val="FootnoteText"/>
        <w:jc w:val="both"/>
        <w:rPr>
          <w:rFonts w:asciiTheme="majorBid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M. </w:t>
      </w:r>
      <w:proofErr w:type="spellStart"/>
      <w:r w:rsidRPr="00D4643C">
        <w:rPr>
          <w:rFonts w:asciiTheme="majorBidi" w:hAnsiTheme="majorBidi" w:cstheme="majorBidi"/>
          <w:color w:val="000000" w:themeColor="text1"/>
          <w:szCs w:val="20"/>
        </w:rPr>
        <w:t>Qafisheh</w:t>
      </w:r>
      <w:proofErr w:type="spellEnd"/>
      <w:r w:rsidRPr="00D4643C">
        <w:rPr>
          <w:rFonts w:asciiTheme="majorBidi" w:hAnsiTheme="majorBidi" w:cstheme="majorBidi"/>
          <w:color w:val="000000" w:themeColor="text1"/>
          <w:szCs w:val="20"/>
        </w:rPr>
        <w:t>, “</w:t>
      </w:r>
      <w:r w:rsidRPr="00D4643C">
        <w:rPr>
          <w:rFonts w:asciiTheme="majorBidi" w:hAnsiTheme="majorBidi" w:cstheme="majorBidi"/>
          <w:color w:val="000000" w:themeColor="text1"/>
          <w:szCs w:val="20"/>
          <w:lang w:bidi="ar-SA"/>
        </w:rPr>
        <w:t>An Ongoing Anomaly: Pre- and Post-Second World War Palestinian Refugees</w:t>
      </w:r>
      <w:r w:rsidRPr="00D4643C">
        <w:rPr>
          <w:rFonts w:asciiTheme="majorBidi" w:hAnsiTheme="majorBidi" w:cstheme="majorBidi"/>
          <w:color w:val="000000" w:themeColor="text1"/>
          <w:szCs w:val="20"/>
        </w:rPr>
        <w:t>”</w:t>
      </w:r>
      <w:r w:rsidRPr="00D4643C">
        <w:rPr>
          <w:rFonts w:asciiTheme="majorBidi" w:hAnsiTheme="majorBidi" w:cstheme="majorBidi"/>
          <w:color w:val="000000" w:themeColor="text1"/>
          <w:szCs w:val="20"/>
          <w:lang w:bidi="ar-SA"/>
        </w:rPr>
        <w:t xml:space="preserve">, </w:t>
      </w:r>
      <w:r w:rsidRPr="00D4643C">
        <w:rPr>
          <w:rFonts w:asciiTheme="majorBidi" w:hAnsiTheme="majorBidi" w:cstheme="majorBidi"/>
          <w:i/>
          <w:iCs/>
          <w:color w:val="000000" w:themeColor="text1"/>
          <w:szCs w:val="20"/>
          <w:lang w:bidi="ar-SA"/>
        </w:rPr>
        <w:t>International Journal of Refugee Law</w:t>
      </w:r>
      <w:r w:rsidRPr="00D4643C">
        <w:rPr>
          <w:rFonts w:asciiTheme="majorBidi" w:hAnsiTheme="majorBidi" w:cstheme="majorBidi"/>
          <w:color w:val="000000" w:themeColor="text1"/>
          <w:szCs w:val="20"/>
          <w:lang w:bidi="ar-SA"/>
        </w:rPr>
        <w:t xml:space="preserve">, 27(1), 2015, 52-74, 54-55. </w:t>
      </w:r>
    </w:p>
  </w:footnote>
  <w:footnote w:id="196">
    <w:p w:rsidR="00A7663B" w:rsidRPr="00D4643C" w:rsidRDefault="00A7663B" w:rsidP="00E559AA">
      <w:pPr>
        <w:autoSpaceDE w:val="0"/>
        <w:autoSpaceDN w:val="0"/>
        <w:bidi w:val="0"/>
        <w:adjustRightInd w:val="0"/>
        <w:jc w:val="both"/>
        <w:rPr>
          <w:rFonts w:asciiTheme="majorBidi" w:hAnsiTheme="majorBidi" w:cstheme="majorBidi"/>
          <w:color w:val="000000" w:themeColor="text1"/>
          <w:sz w:val="20"/>
          <w:szCs w:val="20"/>
          <w:lang w:bidi="ar-SA"/>
        </w:rPr>
      </w:pPr>
      <w:r w:rsidRPr="00D4643C">
        <w:rPr>
          <w:rStyle w:val="FootnoteReference"/>
          <w:rFonts w:asciiTheme="majorBidi" w:hAnsiTheme="majorBidi" w:cstheme="majorBidi"/>
          <w:color w:val="000000" w:themeColor="text1"/>
          <w:sz w:val="20"/>
          <w:szCs w:val="20"/>
        </w:rPr>
        <w:footnoteRef/>
      </w:r>
      <w:r w:rsidRPr="00D4643C">
        <w:rPr>
          <w:rFonts w:asciiTheme="majorBidi" w:hAnsiTheme="majorBidi" w:cstheme="majorBidi"/>
          <w:color w:val="000000" w:themeColor="text1"/>
          <w:sz w:val="20"/>
          <w:szCs w:val="20"/>
        </w:rPr>
        <w:t xml:space="preserve"> </w:t>
      </w:r>
      <w:r w:rsidRPr="00D4643C">
        <w:rPr>
          <w:rFonts w:asciiTheme="majorBidi" w:hAnsiTheme="majorBidi" w:cstheme="majorBidi"/>
          <w:color w:val="000000" w:themeColor="text1"/>
          <w:sz w:val="20"/>
          <w:szCs w:val="20"/>
          <w:lang w:bidi="ar-SA"/>
        </w:rPr>
        <w:t xml:space="preserve">C. </w:t>
      </w:r>
      <w:proofErr w:type="spellStart"/>
      <w:r w:rsidRPr="00D4643C">
        <w:rPr>
          <w:rFonts w:asciiTheme="majorBidi" w:hAnsiTheme="majorBidi" w:cstheme="majorBidi"/>
          <w:color w:val="000000" w:themeColor="text1"/>
          <w:sz w:val="20"/>
          <w:szCs w:val="20"/>
          <w:lang w:bidi="ar-SA"/>
        </w:rPr>
        <w:t>Baeza</w:t>
      </w:r>
      <w:proofErr w:type="spellEnd"/>
      <w:r w:rsidRPr="00D4643C">
        <w:rPr>
          <w:rFonts w:asciiTheme="majorBidi" w:hAnsiTheme="majorBidi" w:cstheme="majorBidi"/>
          <w:color w:val="000000" w:themeColor="text1"/>
          <w:sz w:val="20"/>
          <w:szCs w:val="20"/>
          <w:lang w:bidi="ar-SA"/>
        </w:rPr>
        <w:t xml:space="preserve">, </w:t>
      </w:r>
      <w:r w:rsidRPr="00D4643C">
        <w:rPr>
          <w:rFonts w:asciiTheme="majorBidi" w:hAnsiTheme="majorBidi" w:cstheme="majorBidi"/>
          <w:color w:val="000000" w:themeColor="text1"/>
          <w:sz w:val="20"/>
          <w:szCs w:val="20"/>
        </w:rPr>
        <w:t>“</w:t>
      </w:r>
      <w:r w:rsidRPr="00D4643C">
        <w:rPr>
          <w:rFonts w:asciiTheme="majorBidi" w:hAnsiTheme="majorBidi" w:cstheme="majorBidi"/>
          <w:color w:val="000000" w:themeColor="text1"/>
          <w:sz w:val="20"/>
          <w:szCs w:val="20"/>
          <w:lang w:bidi="ar-SA"/>
        </w:rPr>
        <w:t>Palestinians in Latin America: Between Assimilation and Long-distance Nationalism</w:t>
      </w:r>
      <w:r w:rsidRPr="00D4643C">
        <w:rPr>
          <w:rFonts w:asciiTheme="majorBidi" w:hAnsiTheme="majorBidi" w:cstheme="majorBidi"/>
          <w:color w:val="000000" w:themeColor="text1"/>
          <w:sz w:val="20"/>
          <w:szCs w:val="20"/>
        </w:rPr>
        <w:t>”</w:t>
      </w:r>
      <w:r w:rsidRPr="00D4643C">
        <w:rPr>
          <w:rFonts w:asciiTheme="majorBidi" w:hAnsiTheme="majorBidi" w:cstheme="majorBidi"/>
          <w:color w:val="000000" w:themeColor="text1"/>
          <w:sz w:val="20"/>
          <w:szCs w:val="20"/>
          <w:lang w:bidi="ar-SA"/>
        </w:rPr>
        <w:t>, Washington DC</w:t>
      </w:r>
      <w:r>
        <w:rPr>
          <w:rFonts w:asciiTheme="majorBidi" w:hAnsiTheme="majorBidi" w:cstheme="majorBidi"/>
          <w:color w:val="000000" w:themeColor="text1"/>
          <w:sz w:val="20"/>
          <w:szCs w:val="20"/>
          <w:lang w:bidi="ar-SA"/>
        </w:rPr>
        <w:t>,</w:t>
      </w:r>
      <w:r w:rsidRPr="00D4643C">
        <w:rPr>
          <w:rFonts w:asciiTheme="majorBidi" w:hAnsiTheme="majorBidi" w:cstheme="majorBidi"/>
          <w:color w:val="000000" w:themeColor="text1"/>
          <w:sz w:val="20"/>
          <w:szCs w:val="20"/>
          <w:lang w:bidi="ar-SA"/>
        </w:rPr>
        <w:t xml:space="preserve"> The Jerusalem Fund for Education and Community Development and I</w:t>
      </w:r>
      <w:r>
        <w:rPr>
          <w:rFonts w:asciiTheme="majorBidi" w:hAnsiTheme="majorBidi" w:cstheme="majorBidi"/>
          <w:color w:val="000000" w:themeColor="text1"/>
          <w:sz w:val="20"/>
          <w:szCs w:val="20"/>
          <w:lang w:bidi="ar-SA"/>
        </w:rPr>
        <w:t>nstitute for Palestine Studies</w:t>
      </w:r>
      <w:r w:rsidRPr="00D4643C">
        <w:rPr>
          <w:rFonts w:asciiTheme="majorBidi" w:hAnsiTheme="majorBidi" w:cstheme="majorBidi"/>
          <w:color w:val="000000" w:themeColor="text1"/>
          <w:sz w:val="20"/>
          <w:szCs w:val="20"/>
          <w:lang w:bidi="ar-SA"/>
        </w:rPr>
        <w:t>, 21 Nov. 2013, available at http://www.thejerusalemfund.org (visited 20 Sept. 2015).</w:t>
      </w:r>
    </w:p>
  </w:footnote>
  <w:footnote w:id="197">
    <w:p w:rsidR="00A7663B" w:rsidRPr="00D4643C" w:rsidRDefault="00A7663B" w:rsidP="00E559AA">
      <w:pPr>
        <w:pStyle w:val="FootnoteText"/>
        <w:jc w:val="both"/>
        <w:rPr>
          <w:rFonts w:asciiTheme="majorBid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E.H. </w:t>
      </w:r>
      <w:proofErr w:type="spellStart"/>
      <w:r w:rsidRPr="00D4643C">
        <w:rPr>
          <w:rFonts w:asciiTheme="majorBidi" w:hAnsiTheme="majorBidi" w:cstheme="majorBidi"/>
          <w:color w:val="000000" w:themeColor="text1"/>
          <w:szCs w:val="20"/>
        </w:rPr>
        <w:t>Buehrig</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 xml:space="preserve">The UN and the Palestinian Refugees: A Study in </w:t>
      </w:r>
      <w:proofErr w:type="spellStart"/>
      <w:r w:rsidRPr="00D4643C">
        <w:rPr>
          <w:rFonts w:asciiTheme="majorBidi" w:hAnsiTheme="majorBidi" w:cstheme="majorBidi"/>
          <w:i/>
          <w:iCs/>
          <w:color w:val="000000" w:themeColor="text1"/>
          <w:szCs w:val="20"/>
        </w:rPr>
        <w:t>Nonterritorial</w:t>
      </w:r>
      <w:proofErr w:type="spellEnd"/>
      <w:r w:rsidRPr="00D4643C">
        <w:rPr>
          <w:rFonts w:asciiTheme="majorBidi" w:hAnsiTheme="majorBidi" w:cstheme="majorBidi"/>
          <w:i/>
          <w:iCs/>
          <w:color w:val="000000" w:themeColor="text1"/>
          <w:szCs w:val="20"/>
        </w:rPr>
        <w:t xml:space="preserve"> Administration</w:t>
      </w:r>
      <w:r w:rsidRPr="00D4643C">
        <w:rPr>
          <w:rFonts w:asciiTheme="majorBidi" w:hAnsiTheme="majorBidi" w:cstheme="majorBidi"/>
          <w:color w:val="000000" w:themeColor="text1"/>
          <w:szCs w:val="20"/>
        </w:rPr>
        <w:t>, Bloomington/London,</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 xml:space="preserve">Indiana University Press, 1971; L. </w:t>
      </w:r>
      <w:proofErr w:type="spellStart"/>
      <w:r w:rsidRPr="00D4643C">
        <w:rPr>
          <w:rFonts w:asciiTheme="majorBidi" w:hAnsiTheme="majorBidi" w:cstheme="majorBidi"/>
          <w:color w:val="000000" w:themeColor="text1"/>
          <w:szCs w:val="20"/>
        </w:rPr>
        <w:t>Takkenberg</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The Status of Palestinian Refugees in International Law</w:t>
      </w:r>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Oxford, Clarendon Press</w:t>
      </w:r>
      <w:r w:rsidRPr="00D4643C">
        <w:rPr>
          <w:rFonts w:asciiTheme="majorBidi" w:hAnsiTheme="majorBidi" w:cstheme="majorBidi"/>
          <w:color w:val="000000" w:themeColor="text1"/>
          <w:szCs w:val="20"/>
        </w:rPr>
        <w:t xml:space="preserve">, 1998; B. Morris, </w:t>
      </w:r>
      <w:r w:rsidRPr="00D4643C">
        <w:rPr>
          <w:rFonts w:asciiTheme="majorBidi" w:hAnsiTheme="majorBidi" w:cstheme="majorBidi"/>
          <w:i/>
          <w:iCs/>
          <w:color w:val="000000" w:themeColor="text1"/>
          <w:szCs w:val="20"/>
        </w:rPr>
        <w:t>The Birth of the Palestinian Refugee Problem, 1947-1949</w:t>
      </w:r>
      <w:r w:rsidRPr="00D4643C">
        <w:rPr>
          <w:rFonts w:asciiTheme="majorBidi" w:hAnsiTheme="majorBidi" w:cstheme="majorBidi"/>
          <w:color w:val="000000" w:themeColor="text1"/>
          <w:szCs w:val="20"/>
        </w:rPr>
        <w:t xml:space="preserve">, Cambridge, Cambridge University Press, 2004; M. Bouchard, </w:t>
      </w:r>
      <w:proofErr w:type="spellStart"/>
      <w:r w:rsidRPr="00D4643C">
        <w:rPr>
          <w:rFonts w:asciiTheme="majorBidi" w:hAnsiTheme="majorBidi" w:cstheme="majorBidi"/>
          <w:i/>
          <w:iCs/>
          <w:color w:val="000000" w:themeColor="text1"/>
          <w:szCs w:val="20"/>
        </w:rPr>
        <w:t>L’Exode</w:t>
      </w:r>
      <w:proofErr w:type="spellEnd"/>
      <w:r w:rsidRPr="00D4643C">
        <w:rPr>
          <w:rFonts w:asciiTheme="majorBidi" w:hAnsiTheme="majorBidi" w:cstheme="majorBidi"/>
          <w:i/>
          <w:iCs/>
          <w:color w:val="000000" w:themeColor="text1"/>
          <w:szCs w:val="20"/>
        </w:rPr>
        <w:t xml:space="preserve"> </w:t>
      </w:r>
      <w:proofErr w:type="spellStart"/>
      <w:r w:rsidRPr="00D4643C">
        <w:rPr>
          <w:rFonts w:asciiTheme="majorBidi" w:hAnsiTheme="majorBidi" w:cstheme="majorBidi"/>
          <w:i/>
          <w:iCs/>
          <w:color w:val="000000" w:themeColor="text1"/>
          <w:szCs w:val="20"/>
        </w:rPr>
        <w:t>Palestinien</w:t>
      </w:r>
      <w:proofErr w:type="spellEnd"/>
      <w:r w:rsidRPr="00D4643C">
        <w:rPr>
          <w:rFonts w:asciiTheme="majorBidi" w:hAnsiTheme="majorBidi" w:cstheme="majorBidi"/>
          <w:i/>
          <w:iCs/>
          <w:color w:val="000000" w:themeColor="text1"/>
          <w:szCs w:val="20"/>
        </w:rPr>
        <w:t xml:space="preserve">: construction </w:t>
      </w:r>
      <w:proofErr w:type="spellStart"/>
      <w:r w:rsidRPr="00D4643C">
        <w:rPr>
          <w:rFonts w:asciiTheme="majorBidi" w:hAnsiTheme="majorBidi" w:cstheme="majorBidi"/>
          <w:i/>
          <w:iCs/>
          <w:color w:val="000000" w:themeColor="text1"/>
          <w:szCs w:val="20"/>
        </w:rPr>
        <w:t>d’une</w:t>
      </w:r>
      <w:proofErr w:type="spellEnd"/>
      <w:r w:rsidRPr="00D4643C">
        <w:rPr>
          <w:rFonts w:asciiTheme="majorBidi" w:hAnsiTheme="majorBidi" w:cstheme="majorBidi"/>
          <w:i/>
          <w:iCs/>
          <w:color w:val="000000" w:themeColor="text1"/>
          <w:szCs w:val="20"/>
        </w:rPr>
        <w:t xml:space="preserve"> </w:t>
      </w:r>
      <w:proofErr w:type="spellStart"/>
      <w:r w:rsidRPr="00D4643C">
        <w:rPr>
          <w:rFonts w:asciiTheme="majorBidi" w:hAnsiTheme="majorBidi" w:cstheme="majorBidi"/>
          <w:i/>
          <w:iCs/>
          <w:color w:val="000000" w:themeColor="text1"/>
          <w:szCs w:val="20"/>
        </w:rPr>
        <w:t>représentation</w:t>
      </w:r>
      <w:proofErr w:type="spellEnd"/>
      <w:r w:rsidRPr="00D4643C">
        <w:rPr>
          <w:rFonts w:asciiTheme="majorBidi" w:hAnsiTheme="majorBidi" w:cstheme="majorBidi"/>
          <w:i/>
          <w:iCs/>
          <w:color w:val="000000" w:themeColor="text1"/>
          <w:szCs w:val="20"/>
        </w:rPr>
        <w:t xml:space="preserve"> </w:t>
      </w:r>
      <w:proofErr w:type="spellStart"/>
      <w:r w:rsidRPr="00D4643C">
        <w:rPr>
          <w:rFonts w:asciiTheme="majorBidi" w:hAnsiTheme="majorBidi" w:cstheme="majorBidi"/>
          <w:i/>
          <w:iCs/>
          <w:color w:val="000000" w:themeColor="text1"/>
          <w:szCs w:val="20"/>
        </w:rPr>
        <w:t>occidentale</w:t>
      </w:r>
      <w:proofErr w:type="spellEnd"/>
      <w:r w:rsidRPr="00D4643C">
        <w:rPr>
          <w:rFonts w:asciiTheme="majorBidi" w:hAnsiTheme="majorBidi" w:cstheme="majorBidi"/>
          <w:i/>
          <w:iCs/>
          <w:color w:val="000000" w:themeColor="text1"/>
          <w:szCs w:val="20"/>
        </w:rPr>
        <w:t xml:space="preserve"> du </w:t>
      </w:r>
      <w:proofErr w:type="spellStart"/>
      <w:r w:rsidRPr="00D4643C">
        <w:rPr>
          <w:rFonts w:asciiTheme="majorBidi" w:hAnsiTheme="majorBidi" w:cstheme="majorBidi"/>
          <w:i/>
          <w:iCs/>
          <w:color w:val="000000" w:themeColor="text1"/>
          <w:szCs w:val="20"/>
        </w:rPr>
        <w:t>conflit</w:t>
      </w:r>
      <w:proofErr w:type="spellEnd"/>
      <w:r w:rsidRPr="00D4643C">
        <w:rPr>
          <w:rFonts w:asciiTheme="majorBidi" w:hAnsiTheme="majorBidi" w:cstheme="majorBidi"/>
          <w:i/>
          <w:iCs/>
          <w:color w:val="000000" w:themeColor="text1"/>
          <w:szCs w:val="20"/>
        </w:rPr>
        <w:t xml:space="preserve"> </w:t>
      </w:r>
      <w:proofErr w:type="spellStart"/>
      <w:r w:rsidRPr="00D4643C">
        <w:rPr>
          <w:rFonts w:asciiTheme="majorBidi" w:hAnsiTheme="majorBidi" w:cstheme="majorBidi"/>
          <w:i/>
          <w:iCs/>
          <w:color w:val="000000" w:themeColor="text1"/>
          <w:szCs w:val="20"/>
        </w:rPr>
        <w:t>israéloarabe</w:t>
      </w:r>
      <w:proofErr w:type="spellEnd"/>
      <w:r w:rsidRPr="00D4643C">
        <w:rPr>
          <w:rFonts w:asciiTheme="majorBidi" w:hAnsiTheme="majorBidi" w:cstheme="majorBidi"/>
          <w:color w:val="000000" w:themeColor="text1"/>
          <w:szCs w:val="20"/>
        </w:rPr>
        <w:t xml:space="preserve">, </w:t>
      </w:r>
      <w:r>
        <w:rPr>
          <w:rFonts w:asciiTheme="majorBidi" w:hAnsiTheme="majorBidi" w:cstheme="majorBidi"/>
          <w:color w:val="000000" w:themeColor="text1"/>
          <w:szCs w:val="20"/>
        </w:rPr>
        <w:t xml:space="preserve">Paris, </w:t>
      </w:r>
      <w:proofErr w:type="spellStart"/>
      <w:r>
        <w:rPr>
          <w:rFonts w:asciiTheme="majorBidi" w:hAnsiTheme="majorBidi" w:cstheme="majorBidi"/>
          <w:color w:val="000000" w:themeColor="text1"/>
          <w:szCs w:val="20"/>
        </w:rPr>
        <w:t>L’Harmattan</w:t>
      </w:r>
      <w:proofErr w:type="spellEnd"/>
      <w:r>
        <w:rPr>
          <w:rFonts w:asciiTheme="majorBidi" w:hAnsiTheme="majorBidi" w:cstheme="majorBidi"/>
          <w:color w:val="000000" w:themeColor="text1"/>
          <w:szCs w:val="20"/>
        </w:rPr>
        <w:t>, 2003;</w:t>
      </w:r>
      <w:r w:rsidRPr="00D4643C">
        <w:rPr>
          <w:rFonts w:asciiTheme="majorBidi" w:hAnsiTheme="majorBidi" w:cstheme="majorBidi"/>
          <w:color w:val="000000" w:themeColor="text1"/>
          <w:szCs w:val="20"/>
        </w:rPr>
        <w:t xml:space="preserve"> A.M. </w:t>
      </w:r>
      <w:proofErr w:type="spellStart"/>
      <w:r w:rsidRPr="00D4643C">
        <w:rPr>
          <w:rFonts w:asciiTheme="majorBidi" w:hAnsiTheme="majorBidi" w:cstheme="majorBidi"/>
          <w:color w:val="000000" w:themeColor="text1"/>
          <w:szCs w:val="20"/>
        </w:rPr>
        <w:t>Lesch</w:t>
      </w:r>
      <w:proofErr w:type="spellEnd"/>
      <w:r w:rsidRPr="00D4643C">
        <w:rPr>
          <w:rFonts w:asciiTheme="majorBidi" w:hAnsiTheme="majorBidi" w:cstheme="majorBidi"/>
          <w:color w:val="000000" w:themeColor="text1"/>
          <w:szCs w:val="20"/>
        </w:rPr>
        <w:t xml:space="preserve"> &amp; I.S. </w:t>
      </w:r>
      <w:proofErr w:type="spellStart"/>
      <w:r w:rsidRPr="00D4643C">
        <w:rPr>
          <w:rFonts w:asciiTheme="majorBidi" w:hAnsiTheme="majorBidi" w:cstheme="majorBidi"/>
          <w:color w:val="000000" w:themeColor="text1"/>
          <w:szCs w:val="20"/>
        </w:rPr>
        <w:t>Lustick</w:t>
      </w:r>
      <w:proofErr w:type="spellEnd"/>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Exile and Return: Predicaments of Palestinians and Jews</w:t>
      </w:r>
      <w:r w:rsidRPr="00D4643C">
        <w:rPr>
          <w:rFonts w:asciiTheme="majorBidi" w:hAnsiTheme="majorBidi" w:cstheme="majorBidi"/>
          <w:color w:val="000000" w:themeColor="text1"/>
          <w:szCs w:val="20"/>
        </w:rPr>
        <w:t>, Philadelphia,</w:t>
      </w:r>
      <w:r>
        <w:rPr>
          <w:rFonts w:asciiTheme="majorBidi" w:hAnsiTheme="majorBidi" w:cstheme="majorBidi"/>
          <w:color w:val="000000" w:themeColor="text1"/>
          <w:szCs w:val="20"/>
        </w:rPr>
        <w:t xml:space="preserve"> </w:t>
      </w:r>
      <w:r w:rsidRPr="00D4643C">
        <w:rPr>
          <w:rFonts w:asciiTheme="majorBidi" w:hAnsiTheme="majorBidi" w:cstheme="majorBidi"/>
          <w:color w:val="000000" w:themeColor="text1"/>
          <w:szCs w:val="20"/>
        </w:rPr>
        <w:t>University of Pennsylvania Press, 2005.</w:t>
      </w:r>
    </w:p>
  </w:footnote>
  <w:footnote w:id="19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See http:</w:t>
      </w:r>
      <w:r>
        <w:rPr>
          <w:rFonts w:asciiTheme="majorBidi" w:hAnsiTheme="majorBidi" w:cstheme="majorBidi"/>
          <w:color w:val="000000" w:themeColor="text1"/>
          <w:szCs w:val="20"/>
        </w:rPr>
        <w:t>//www.unrwa.org (visited 19 Sep</w:t>
      </w:r>
      <w:r w:rsidRPr="00D4643C">
        <w:rPr>
          <w:rFonts w:asciiTheme="majorBidi" w:hAnsiTheme="majorBidi" w:cstheme="majorBidi"/>
          <w:color w:val="000000" w:themeColor="text1"/>
          <w:szCs w:val="20"/>
        </w:rPr>
        <w:t>. 2015).</w:t>
      </w:r>
    </w:p>
  </w:footnote>
  <w:footnote w:id="199">
    <w:p w:rsidR="00A7663B" w:rsidRPr="00D4643C" w:rsidRDefault="00A7663B" w:rsidP="00D4643C">
      <w:pPr>
        <w:pStyle w:val="FootnoteText"/>
        <w:jc w:val="both"/>
        <w:rPr>
          <w:rFonts w:asciiTheme="majorBidi" w:hAnsiTheme="majorBidi" w:cstheme="majorBidi"/>
          <w:color w:val="000000" w:themeColor="text1"/>
          <w:szCs w:val="20"/>
          <w:lang w:bidi="ar-SA"/>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K. </w:t>
      </w:r>
      <w:proofErr w:type="spellStart"/>
      <w:r w:rsidRPr="00D4643C">
        <w:rPr>
          <w:rFonts w:asciiTheme="majorBidi" w:hAnsiTheme="majorBidi" w:cstheme="majorBidi"/>
          <w:color w:val="000000" w:themeColor="text1"/>
          <w:szCs w:val="20"/>
        </w:rPr>
        <w:t>Lawand</w:t>
      </w:r>
      <w:proofErr w:type="spellEnd"/>
      <w:r w:rsidRPr="00D4643C">
        <w:rPr>
          <w:rFonts w:asciiTheme="majorBidi" w:hAnsiTheme="majorBidi" w:cstheme="majorBidi"/>
          <w:color w:val="000000" w:themeColor="text1"/>
          <w:szCs w:val="20"/>
        </w:rPr>
        <w:t xml:space="preserve">, “The Right to Return of Palestinian Refugees in International Law”, </w:t>
      </w:r>
      <w:r w:rsidRPr="00D4643C">
        <w:rPr>
          <w:rFonts w:asciiTheme="majorBidi" w:hAnsiTheme="majorBidi" w:cstheme="majorBidi"/>
          <w:i/>
          <w:iCs/>
          <w:color w:val="000000" w:themeColor="text1"/>
          <w:szCs w:val="20"/>
        </w:rPr>
        <w:t>International Journal of Refugee Law</w:t>
      </w:r>
      <w:r w:rsidRPr="00D4643C">
        <w:rPr>
          <w:rFonts w:asciiTheme="majorBidi" w:hAnsiTheme="majorBidi" w:cstheme="majorBidi"/>
          <w:color w:val="000000" w:themeColor="text1"/>
          <w:szCs w:val="20"/>
        </w:rPr>
        <w:t xml:space="preserve">, 8(4), 1996, 532-568; J. Quigley, “Mass Displacement and the Individual Right of Return”, </w:t>
      </w:r>
      <w:r w:rsidRPr="00D4643C">
        <w:rPr>
          <w:rFonts w:asciiTheme="majorBidi" w:hAnsiTheme="majorBidi" w:cstheme="majorBidi"/>
          <w:i/>
          <w:iCs/>
          <w:color w:val="000000" w:themeColor="text1"/>
          <w:szCs w:val="20"/>
        </w:rPr>
        <w:t>The British Year Book of International Law</w:t>
      </w:r>
      <w:r w:rsidRPr="00D4643C">
        <w:rPr>
          <w:rFonts w:asciiTheme="majorBidi" w:hAnsiTheme="majorBidi" w:cstheme="majorBidi"/>
          <w:color w:val="000000" w:themeColor="text1"/>
          <w:szCs w:val="20"/>
        </w:rPr>
        <w:t>, 68(</w:t>
      </w:r>
      <w:r w:rsidRPr="00E42799">
        <w:rPr>
          <w:rFonts w:asciiTheme="majorBidi" w:hAnsiTheme="majorBidi" w:cstheme="majorBidi"/>
          <w:color w:val="000000" w:themeColor="text1"/>
          <w:szCs w:val="20"/>
        </w:rPr>
        <w:t xml:space="preserve">1), 1997, 65-125; and </w:t>
      </w:r>
      <w:r w:rsidRPr="00E42799">
        <w:rPr>
          <w:rFonts w:asciiTheme="majorBidi" w:hAnsiTheme="majorBidi" w:cstheme="majorBidi"/>
          <w:color w:val="000000" w:themeColor="text1"/>
          <w:szCs w:val="20"/>
          <w:shd w:val="clear" w:color="auto" w:fill="FFFFFF"/>
        </w:rPr>
        <w:t xml:space="preserve">F.A. Boyle, </w:t>
      </w:r>
      <w:r w:rsidRPr="00E42799">
        <w:rPr>
          <w:rFonts w:asciiTheme="majorBidi" w:hAnsiTheme="majorBidi" w:cstheme="majorBidi"/>
          <w:i/>
          <w:iCs/>
          <w:color w:val="000000" w:themeColor="text1"/>
          <w:szCs w:val="20"/>
          <w:shd w:val="clear" w:color="auto" w:fill="FFFFFF"/>
        </w:rPr>
        <w:t>The Palestinian Right of Return under International Law</w:t>
      </w:r>
      <w:r w:rsidRPr="00E42799">
        <w:rPr>
          <w:rFonts w:asciiTheme="majorBidi" w:hAnsiTheme="majorBidi" w:cstheme="majorBidi"/>
          <w:color w:val="000000" w:themeColor="text1"/>
          <w:szCs w:val="20"/>
          <w:shd w:val="clear" w:color="auto" w:fill="FFFFFF"/>
        </w:rPr>
        <w:t xml:space="preserve">, </w:t>
      </w:r>
      <w:r w:rsidRPr="00E42799">
        <w:rPr>
          <w:rFonts w:asciiTheme="majorBidi" w:hAnsiTheme="majorBidi" w:cstheme="majorBidi"/>
          <w:color w:val="000000" w:themeColor="text1"/>
          <w:shd w:val="clear" w:color="auto" w:fill="FFFFFF"/>
        </w:rPr>
        <w:t>Atlanta</w:t>
      </w:r>
      <w:r w:rsidRPr="00E42799">
        <w:rPr>
          <w:rFonts w:asciiTheme="majorBidi" w:hAnsiTheme="majorBidi" w:cstheme="majorBidi"/>
          <w:color w:val="000000" w:themeColor="text1"/>
          <w:szCs w:val="20"/>
          <w:shd w:val="clear" w:color="auto" w:fill="FFFFFF"/>
        </w:rPr>
        <w:t xml:space="preserve">, </w:t>
      </w:r>
      <w:r w:rsidRPr="00D4643C">
        <w:rPr>
          <w:rFonts w:asciiTheme="majorBidi" w:hAnsiTheme="majorBidi" w:cstheme="majorBidi"/>
          <w:color w:val="000000" w:themeColor="text1"/>
          <w:szCs w:val="20"/>
          <w:shd w:val="clear" w:color="auto" w:fill="FFFFFF"/>
        </w:rPr>
        <w:t>Clarity Press, 2011</w:t>
      </w:r>
      <w:r w:rsidRPr="00D4643C">
        <w:rPr>
          <w:rFonts w:asciiTheme="majorBidi" w:hAnsiTheme="majorBidi" w:cstheme="majorBidi"/>
          <w:color w:val="000000" w:themeColor="text1"/>
          <w:szCs w:val="20"/>
          <w:lang w:bidi="ar-SA"/>
        </w:rPr>
        <w:t>.</w:t>
      </w:r>
    </w:p>
  </w:footnote>
  <w:footnote w:id="200">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K.R. </w:t>
      </w:r>
      <w:proofErr w:type="spellStart"/>
      <w:r w:rsidRPr="00D4643C">
        <w:rPr>
          <w:rFonts w:asciiTheme="majorBidi" w:hAnsiTheme="majorBidi" w:cstheme="majorBidi"/>
          <w:color w:val="000000" w:themeColor="text1"/>
          <w:szCs w:val="20"/>
        </w:rPr>
        <w:t>Redley</w:t>
      </w:r>
      <w:proofErr w:type="spellEnd"/>
      <w:r w:rsidRPr="00D4643C">
        <w:rPr>
          <w:rFonts w:asciiTheme="majorBidi" w:hAnsiTheme="majorBidi" w:cstheme="majorBidi"/>
          <w:color w:val="000000" w:themeColor="text1"/>
          <w:szCs w:val="20"/>
        </w:rPr>
        <w:t xml:space="preserve">, “The Palestinian Refugees: The Right to Return in International Law”, </w:t>
      </w:r>
      <w:r w:rsidRPr="00D4643C">
        <w:rPr>
          <w:rFonts w:asciiTheme="majorBidi" w:hAnsiTheme="majorBidi" w:cstheme="majorBidi"/>
          <w:i/>
          <w:iCs/>
          <w:color w:val="000000" w:themeColor="text1"/>
          <w:szCs w:val="20"/>
        </w:rPr>
        <w:t>American Journal of International Law</w:t>
      </w:r>
      <w:r w:rsidRPr="00D4643C">
        <w:rPr>
          <w:rFonts w:asciiTheme="majorBidi" w:hAnsiTheme="majorBidi" w:cstheme="majorBidi"/>
          <w:color w:val="000000" w:themeColor="text1"/>
          <w:szCs w:val="20"/>
        </w:rPr>
        <w:t xml:space="preserve">, 72, 1978, 586-614; R. </w:t>
      </w:r>
      <w:proofErr w:type="spellStart"/>
      <w:r w:rsidRPr="00D4643C">
        <w:rPr>
          <w:rFonts w:asciiTheme="majorBidi" w:hAnsiTheme="majorBidi" w:cstheme="majorBidi"/>
          <w:color w:val="000000" w:themeColor="text1"/>
          <w:szCs w:val="20"/>
        </w:rPr>
        <w:t>Lapidoth</w:t>
      </w:r>
      <w:proofErr w:type="spellEnd"/>
      <w:r w:rsidRPr="00D4643C">
        <w:rPr>
          <w:rFonts w:asciiTheme="majorBidi" w:hAnsiTheme="majorBidi" w:cstheme="majorBidi"/>
          <w:color w:val="000000" w:themeColor="text1"/>
          <w:szCs w:val="20"/>
        </w:rPr>
        <w:t xml:space="preserve">, “The Right of Return in International Law, with Special Reference to the Palestinian Refugees”, </w:t>
      </w:r>
      <w:r w:rsidRPr="00D4643C">
        <w:rPr>
          <w:rFonts w:asciiTheme="majorBidi" w:hAnsiTheme="majorBidi" w:cstheme="majorBidi"/>
          <w:i/>
          <w:iCs/>
          <w:color w:val="000000" w:themeColor="text1"/>
          <w:szCs w:val="20"/>
        </w:rPr>
        <w:t>Israel Yearbook on Human Rights</w:t>
      </w:r>
      <w:r>
        <w:rPr>
          <w:rFonts w:asciiTheme="majorBidi" w:hAnsiTheme="majorBidi" w:cstheme="majorBidi"/>
          <w:color w:val="000000" w:themeColor="text1"/>
          <w:szCs w:val="20"/>
        </w:rPr>
        <w:t>, 16, 1986, 103-125;</w:t>
      </w:r>
      <w:r w:rsidRPr="00D4643C">
        <w:rPr>
          <w:rFonts w:asciiTheme="majorBidi" w:hAnsiTheme="majorBidi" w:cstheme="majorBidi"/>
          <w:color w:val="000000" w:themeColor="text1"/>
          <w:szCs w:val="20"/>
        </w:rPr>
        <w:t xml:space="preserve"> Y. </w:t>
      </w:r>
      <w:proofErr w:type="spellStart"/>
      <w:r w:rsidRPr="00D4643C">
        <w:rPr>
          <w:rFonts w:asciiTheme="majorBidi" w:hAnsiTheme="majorBidi" w:cstheme="majorBidi"/>
          <w:color w:val="000000" w:themeColor="text1"/>
          <w:szCs w:val="20"/>
        </w:rPr>
        <w:t>Tadmor</w:t>
      </w:r>
      <w:proofErr w:type="spellEnd"/>
      <w:r w:rsidRPr="00D4643C">
        <w:rPr>
          <w:rFonts w:asciiTheme="majorBidi" w:hAnsiTheme="majorBidi" w:cstheme="majorBidi"/>
          <w:color w:val="000000" w:themeColor="text1"/>
          <w:szCs w:val="20"/>
        </w:rPr>
        <w:t xml:space="preserve">, “The Palestinian Refugees of 1948: The Right to Compensation and Return”, </w:t>
      </w:r>
      <w:r w:rsidRPr="00D4643C">
        <w:rPr>
          <w:rFonts w:asciiTheme="majorBidi" w:hAnsiTheme="majorBidi" w:cstheme="majorBidi"/>
          <w:i/>
          <w:iCs/>
          <w:color w:val="000000" w:themeColor="text1"/>
          <w:szCs w:val="20"/>
        </w:rPr>
        <w:t>Temple International &amp; Comparative Law Journal</w:t>
      </w:r>
      <w:r w:rsidRPr="00D4643C">
        <w:rPr>
          <w:rFonts w:asciiTheme="majorBidi" w:hAnsiTheme="majorBidi" w:cstheme="majorBidi"/>
          <w:color w:val="000000" w:themeColor="text1"/>
          <w:szCs w:val="20"/>
        </w:rPr>
        <w:t>, 8, 1994, 403-434.</w:t>
      </w:r>
    </w:p>
  </w:footnote>
  <w:footnote w:id="201">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Of these: 1.258.559 in the Gaza Strip, and 762.288 in the West Bank. See http://www.unrwa.org (visited 19 Sept. 2015).</w:t>
      </w:r>
    </w:p>
  </w:footnote>
  <w:footnote w:id="202">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PCBS</w:t>
      </w:r>
      <w:r>
        <w:rPr>
          <w:rFonts w:asciiTheme="majorBidi" w:hAnsiTheme="majorBidi" w:cstheme="majorBidi"/>
          <w:color w:val="000000" w:themeColor="text1"/>
          <w:szCs w:val="20"/>
        </w:rPr>
        <w:t>,</w:t>
      </w:r>
      <w:r w:rsidRPr="00762FB7">
        <w:rPr>
          <w:rFonts w:asciiTheme="majorBidi" w:hAnsiTheme="majorBidi" w:cstheme="majorBidi"/>
          <w:i/>
          <w:iCs/>
          <w:color w:val="000000" w:themeColor="text1"/>
          <w:szCs w:val="20"/>
        </w:rPr>
        <w:t xml:space="preserve"> </w:t>
      </w:r>
      <w:r w:rsidRPr="00D4643C">
        <w:rPr>
          <w:rFonts w:asciiTheme="majorBidi" w:hAnsiTheme="majorBidi" w:cstheme="majorBidi"/>
          <w:i/>
          <w:iCs/>
          <w:color w:val="000000" w:themeColor="text1"/>
          <w:szCs w:val="20"/>
        </w:rPr>
        <w:t>Palestin</w:t>
      </w:r>
      <w:r>
        <w:rPr>
          <w:rFonts w:asciiTheme="majorBidi" w:hAnsiTheme="majorBidi" w:cstheme="majorBidi"/>
          <w:i/>
          <w:iCs/>
          <w:color w:val="000000" w:themeColor="text1"/>
          <w:szCs w:val="20"/>
        </w:rPr>
        <w:t>ians</w:t>
      </w:r>
      <w:r w:rsidRPr="00D4643C">
        <w:rPr>
          <w:rFonts w:asciiTheme="majorBidi" w:hAnsiTheme="majorBidi" w:cstheme="majorBidi"/>
          <w:color w:val="000000" w:themeColor="text1"/>
          <w:szCs w:val="20"/>
        </w:rPr>
        <w:t xml:space="preserve">, above </w:t>
      </w:r>
      <w:r>
        <w:rPr>
          <w:rFonts w:asciiTheme="majorBidi" w:hAnsiTheme="majorBidi" w:cstheme="majorBidi"/>
          <w:color w:val="000000" w:themeColor="text1"/>
          <w:szCs w:val="20"/>
        </w:rPr>
        <w:t>footnote 14</w:t>
      </w:r>
      <w:r w:rsidRPr="00D4643C">
        <w:rPr>
          <w:rFonts w:asciiTheme="majorBidi" w:hAnsiTheme="majorBidi" w:cstheme="majorBidi"/>
          <w:color w:val="000000" w:themeColor="text1"/>
          <w:szCs w:val="20"/>
        </w:rPr>
        <w:t>, 23.</w:t>
      </w:r>
    </w:p>
  </w:footnote>
  <w:footnote w:id="203">
    <w:p w:rsidR="00A7663B" w:rsidRPr="00D4643C" w:rsidRDefault="00A7663B" w:rsidP="00D4643C">
      <w:pPr>
        <w:pStyle w:val="Heading3"/>
        <w:shd w:val="clear" w:color="auto" w:fill="FFFFFF"/>
        <w:spacing w:before="0"/>
        <w:jc w:val="both"/>
        <w:rPr>
          <w:rFonts w:asciiTheme="majorBidi" w:eastAsia="Times New Roman" w:hAnsiTheme="majorBidi"/>
          <w:b w:val="0"/>
          <w:bCs w:val="0"/>
          <w:color w:val="000000" w:themeColor="text1"/>
          <w:sz w:val="20"/>
          <w:szCs w:val="20"/>
          <w:lang w:val="en-US" w:eastAsia="en-US"/>
        </w:rPr>
      </w:pPr>
      <w:r w:rsidRPr="00D4643C">
        <w:rPr>
          <w:rStyle w:val="FootnoteReference"/>
          <w:rFonts w:asciiTheme="majorBidi" w:hAnsiTheme="majorBidi"/>
          <w:b w:val="0"/>
          <w:bCs w:val="0"/>
          <w:color w:val="000000" w:themeColor="text1"/>
          <w:sz w:val="20"/>
          <w:szCs w:val="20"/>
        </w:rPr>
        <w:footnoteRef/>
      </w:r>
      <w:r w:rsidRPr="00D4643C">
        <w:rPr>
          <w:rFonts w:asciiTheme="majorBidi" w:hAnsiTheme="majorBidi"/>
          <w:b w:val="0"/>
          <w:bCs w:val="0"/>
          <w:color w:val="000000" w:themeColor="text1"/>
          <w:sz w:val="20"/>
          <w:szCs w:val="20"/>
        </w:rPr>
        <w:t xml:space="preserve"> A. </w:t>
      </w:r>
      <w:r w:rsidRPr="00D4643C">
        <w:rPr>
          <w:rFonts w:asciiTheme="majorBidi" w:eastAsia="Times New Roman" w:hAnsiTheme="majorBidi"/>
          <w:b w:val="0"/>
          <w:bCs w:val="0"/>
          <w:color w:val="000000" w:themeColor="text1"/>
          <w:sz w:val="20"/>
          <w:szCs w:val="20"/>
          <w:lang w:val="en-US" w:eastAsia="en-US"/>
        </w:rPr>
        <w:t xml:space="preserve">Knudsen </w:t>
      </w:r>
      <w:r w:rsidRPr="00D4643C">
        <w:rPr>
          <w:rFonts w:asciiTheme="majorBidi" w:hAnsiTheme="majorBidi"/>
          <w:b w:val="0"/>
          <w:bCs w:val="0"/>
          <w:color w:val="000000" w:themeColor="text1"/>
          <w:sz w:val="20"/>
          <w:szCs w:val="20"/>
        </w:rPr>
        <w:t xml:space="preserve">&amp; S. </w:t>
      </w:r>
      <w:proofErr w:type="spellStart"/>
      <w:r w:rsidRPr="00D4643C">
        <w:rPr>
          <w:rFonts w:asciiTheme="majorBidi" w:hAnsiTheme="majorBidi"/>
          <w:b w:val="0"/>
          <w:bCs w:val="0"/>
          <w:color w:val="000000" w:themeColor="text1"/>
          <w:sz w:val="20"/>
          <w:szCs w:val="20"/>
        </w:rPr>
        <w:t>Hanafi</w:t>
      </w:r>
      <w:proofErr w:type="spellEnd"/>
      <w:r w:rsidRPr="00D4643C">
        <w:rPr>
          <w:rFonts w:asciiTheme="majorBidi" w:hAnsiTheme="majorBidi"/>
          <w:b w:val="0"/>
          <w:bCs w:val="0"/>
          <w:color w:val="000000" w:themeColor="text1"/>
          <w:sz w:val="20"/>
          <w:szCs w:val="20"/>
        </w:rPr>
        <w:t xml:space="preserve">, </w:t>
      </w:r>
      <w:r w:rsidRPr="00D4643C">
        <w:rPr>
          <w:rFonts w:asciiTheme="majorBidi" w:eastAsia="Times New Roman" w:hAnsiTheme="majorBidi"/>
          <w:b w:val="0"/>
          <w:bCs w:val="0"/>
          <w:i/>
          <w:iCs/>
          <w:color w:val="000000" w:themeColor="text1"/>
          <w:sz w:val="20"/>
          <w:szCs w:val="20"/>
          <w:lang w:val="en-US" w:eastAsia="en-US"/>
        </w:rPr>
        <w:t>Palestinian Refugees: Identity, Space and Place in the Levant</w:t>
      </w:r>
      <w:r w:rsidRPr="00D4643C">
        <w:rPr>
          <w:rFonts w:asciiTheme="majorBidi" w:eastAsia="Times New Roman" w:hAnsiTheme="majorBidi"/>
          <w:b w:val="0"/>
          <w:bCs w:val="0"/>
          <w:color w:val="000000" w:themeColor="text1"/>
          <w:sz w:val="20"/>
          <w:szCs w:val="20"/>
          <w:lang w:val="en-US" w:eastAsia="en-US"/>
        </w:rPr>
        <w:t xml:space="preserve">, </w:t>
      </w:r>
      <w:r>
        <w:rPr>
          <w:rFonts w:asciiTheme="majorBidi" w:eastAsiaTheme="minorHAnsi" w:hAnsiTheme="majorBidi"/>
          <w:b w:val="0"/>
          <w:bCs w:val="0"/>
          <w:color w:val="000000" w:themeColor="text1"/>
          <w:sz w:val="20"/>
          <w:szCs w:val="20"/>
          <w:shd w:val="clear" w:color="auto" w:fill="FFFFFF"/>
          <w:lang w:val="en-US" w:eastAsia="en-US" w:bidi="he-IL"/>
        </w:rPr>
        <w:t xml:space="preserve">London, </w:t>
      </w:r>
      <w:proofErr w:type="spellStart"/>
      <w:r w:rsidRPr="00D4643C">
        <w:rPr>
          <w:rFonts w:asciiTheme="majorBidi" w:eastAsiaTheme="minorHAnsi" w:hAnsiTheme="majorBidi"/>
          <w:b w:val="0"/>
          <w:bCs w:val="0"/>
          <w:color w:val="000000" w:themeColor="text1"/>
          <w:sz w:val="20"/>
          <w:szCs w:val="20"/>
          <w:shd w:val="clear" w:color="auto" w:fill="FFFFFF"/>
          <w:lang w:val="en-US" w:eastAsia="en-US" w:bidi="he-IL"/>
        </w:rPr>
        <w:t>Routledge</w:t>
      </w:r>
      <w:proofErr w:type="spellEnd"/>
      <w:r w:rsidRPr="00D4643C">
        <w:rPr>
          <w:rFonts w:asciiTheme="majorBidi" w:eastAsia="Times New Roman" w:hAnsiTheme="majorBidi"/>
          <w:b w:val="0"/>
          <w:bCs w:val="0"/>
          <w:color w:val="000000" w:themeColor="text1"/>
          <w:sz w:val="20"/>
          <w:szCs w:val="20"/>
          <w:lang w:val="en-US" w:eastAsia="en-US"/>
        </w:rPr>
        <w:t>, 2011.</w:t>
      </w:r>
    </w:p>
  </w:footnote>
  <w:footnote w:id="204">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Above Sections 1 and 2.</w:t>
      </w:r>
    </w:p>
  </w:footnote>
  <w:footnote w:id="205">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L. </w:t>
      </w:r>
      <w:proofErr w:type="spellStart"/>
      <w:r w:rsidRPr="00D4643C">
        <w:rPr>
          <w:rFonts w:asciiTheme="majorBidi" w:hAnsiTheme="majorBidi" w:cstheme="majorBidi"/>
          <w:color w:val="000000" w:themeColor="text1"/>
          <w:szCs w:val="20"/>
          <w:shd w:val="clear" w:color="auto" w:fill="FFFFFF" w:themeFill="background1"/>
        </w:rPr>
        <w:t>Takkenberg</w:t>
      </w:r>
      <w:proofErr w:type="spellEnd"/>
      <w:r w:rsidRPr="00D4643C">
        <w:rPr>
          <w:rFonts w:asciiTheme="majorBidi" w:hAnsiTheme="majorBidi" w:cstheme="majorBidi"/>
          <w:color w:val="000000" w:themeColor="text1"/>
          <w:szCs w:val="20"/>
          <w:shd w:val="clear" w:color="auto" w:fill="FFFFFF" w:themeFill="background1"/>
        </w:rPr>
        <w:t xml:space="preserve">, </w:t>
      </w:r>
      <w:r w:rsidRPr="00D4643C">
        <w:rPr>
          <w:rFonts w:asciiTheme="majorBidi" w:hAnsiTheme="majorBidi" w:cstheme="majorBidi"/>
          <w:color w:val="000000" w:themeColor="text1"/>
          <w:szCs w:val="20"/>
        </w:rPr>
        <w:t>“</w:t>
      </w:r>
      <w:r w:rsidRPr="00D4643C">
        <w:rPr>
          <w:rFonts w:asciiTheme="majorBidi" w:hAnsiTheme="majorBidi" w:cstheme="majorBidi"/>
          <w:color w:val="000000" w:themeColor="text1"/>
          <w:szCs w:val="20"/>
          <w:shd w:val="clear" w:color="auto" w:fill="FFFFFF" w:themeFill="background1"/>
        </w:rPr>
        <w:t>The Protection of Palestine Refugees in the Territories Occupied by Israel</w:t>
      </w:r>
      <w:r w:rsidRPr="00D4643C">
        <w:rPr>
          <w:rFonts w:asciiTheme="majorBidi" w:hAnsiTheme="majorBidi" w:cstheme="majorBidi"/>
          <w:color w:val="000000" w:themeColor="text1"/>
          <w:szCs w:val="20"/>
        </w:rPr>
        <w:t>”</w:t>
      </w:r>
      <w:r w:rsidRPr="00D4643C">
        <w:rPr>
          <w:rFonts w:asciiTheme="majorBidi" w:hAnsiTheme="majorBidi" w:cstheme="majorBidi"/>
          <w:color w:val="000000" w:themeColor="text1"/>
          <w:szCs w:val="20"/>
          <w:shd w:val="clear" w:color="auto" w:fill="FFFFFF" w:themeFill="background1"/>
        </w:rPr>
        <w:t>,</w:t>
      </w:r>
      <w:r w:rsidRPr="00D4643C">
        <w:rPr>
          <w:rFonts w:asciiTheme="majorBidi" w:hAnsiTheme="majorBidi" w:cstheme="majorBidi"/>
          <w:color w:val="000000" w:themeColor="text1"/>
          <w:szCs w:val="20"/>
        </w:rPr>
        <w:t xml:space="preserve"> </w:t>
      </w:r>
      <w:r w:rsidRPr="00D4643C">
        <w:rPr>
          <w:rFonts w:asciiTheme="majorBidi" w:hAnsiTheme="majorBidi" w:cstheme="majorBidi"/>
          <w:i/>
          <w:iCs/>
          <w:color w:val="000000" w:themeColor="text1"/>
          <w:szCs w:val="20"/>
        </w:rPr>
        <w:t>International Journal of Refugee Law</w:t>
      </w:r>
      <w:r w:rsidRPr="00D4643C">
        <w:rPr>
          <w:rFonts w:asciiTheme="majorBidi" w:hAnsiTheme="majorBidi" w:cstheme="majorBidi"/>
          <w:color w:val="000000" w:themeColor="text1"/>
          <w:szCs w:val="20"/>
          <w:shd w:val="clear" w:color="auto" w:fill="FFFFFF"/>
        </w:rPr>
        <w:t>, 3(3), 1991, 414-434.</w:t>
      </w:r>
    </w:p>
  </w:footnote>
  <w:footnote w:id="206">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Above Section 4.</w:t>
      </w:r>
    </w:p>
  </w:footnote>
  <w:footnote w:id="207">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Members of the group who now reside in East Jerusalem should be treated as mentioned in Section 4 above, notwithstanding their right of return to their original places of residence inside Israel.</w:t>
      </w:r>
    </w:p>
  </w:footnote>
  <w:footnote w:id="208">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w:t>
      </w:r>
      <w:proofErr w:type="spellStart"/>
      <w:r w:rsidRPr="00D4643C">
        <w:rPr>
          <w:rFonts w:asciiTheme="majorBidi" w:hAnsiTheme="majorBidi" w:cstheme="majorBidi"/>
          <w:color w:val="000000" w:themeColor="text1"/>
          <w:szCs w:val="20"/>
        </w:rPr>
        <w:t>Qafisheh</w:t>
      </w:r>
      <w:proofErr w:type="spellEnd"/>
      <w:r w:rsidRPr="00D4643C">
        <w:rPr>
          <w:rFonts w:asciiTheme="majorBidi" w:hAnsiTheme="majorBidi" w:cstheme="majorBidi"/>
          <w:color w:val="000000" w:themeColor="text1"/>
          <w:szCs w:val="20"/>
        </w:rPr>
        <w:t xml:space="preserve"> &amp; </w:t>
      </w:r>
      <w:proofErr w:type="spellStart"/>
      <w:r w:rsidRPr="00D4643C">
        <w:rPr>
          <w:rFonts w:asciiTheme="majorBidi" w:hAnsiTheme="majorBidi" w:cstheme="majorBidi"/>
          <w:color w:val="000000" w:themeColor="text1"/>
          <w:szCs w:val="20"/>
        </w:rPr>
        <w:t>Azarov</w:t>
      </w:r>
      <w:proofErr w:type="spellEnd"/>
      <w:r w:rsidRPr="00D4643C">
        <w:rPr>
          <w:rFonts w:asciiTheme="majorBidi" w:hAnsiTheme="majorBidi" w:cstheme="majorBidi"/>
          <w:color w:val="000000" w:themeColor="text1"/>
          <w:szCs w:val="20"/>
        </w:rPr>
        <w:t>, “Article 1D”, above footnote</w:t>
      </w:r>
      <w:r>
        <w:rPr>
          <w:rFonts w:asciiTheme="majorBidi" w:hAnsiTheme="majorBidi" w:cstheme="majorBidi"/>
          <w:color w:val="000000" w:themeColor="text1"/>
          <w:szCs w:val="20"/>
        </w:rPr>
        <w:t xml:space="preserve"> 138</w:t>
      </w:r>
      <w:r w:rsidRPr="00D4643C">
        <w:rPr>
          <w:rFonts w:asciiTheme="majorBidi" w:hAnsiTheme="majorBidi" w:cstheme="majorBidi"/>
          <w:color w:val="000000" w:themeColor="text1"/>
          <w:szCs w:val="20"/>
        </w:rPr>
        <w:t>, 549.</w:t>
      </w:r>
    </w:p>
  </w:footnote>
  <w:footnote w:id="209">
    <w:p w:rsidR="00A7663B" w:rsidRPr="00D000B6" w:rsidRDefault="00A7663B" w:rsidP="00D000B6">
      <w:pPr>
        <w:pStyle w:val="FootnoteText"/>
        <w:jc w:val="both"/>
        <w:rPr>
          <w:rFonts w:asciiTheme="majorBidi" w:hAnsiTheme="majorBidi" w:cstheme="majorBidi"/>
          <w:color w:val="000000" w:themeColor="text1"/>
        </w:rPr>
      </w:pPr>
      <w:r w:rsidRPr="00D000B6">
        <w:rPr>
          <w:rStyle w:val="FootnoteReference"/>
          <w:rFonts w:asciiTheme="majorBidi" w:hAnsiTheme="majorBidi" w:cstheme="majorBidi"/>
          <w:color w:val="000000" w:themeColor="text1"/>
        </w:rPr>
        <w:footnoteRef/>
      </w:r>
      <w:r w:rsidRPr="00D000B6">
        <w:rPr>
          <w:rFonts w:asciiTheme="majorBidi" w:hAnsiTheme="majorBidi" w:cstheme="majorBidi"/>
          <w:color w:val="000000" w:themeColor="text1"/>
        </w:rPr>
        <w:t xml:space="preserve"> A.F. </w:t>
      </w:r>
      <w:proofErr w:type="spellStart"/>
      <w:r w:rsidRPr="00D000B6">
        <w:rPr>
          <w:rFonts w:asciiTheme="majorBidi" w:hAnsiTheme="majorBidi" w:cstheme="majorBidi"/>
          <w:color w:val="000000" w:themeColor="text1"/>
        </w:rPr>
        <w:t>Kassim</w:t>
      </w:r>
      <w:proofErr w:type="spellEnd"/>
      <w:r w:rsidRPr="00D000B6">
        <w:rPr>
          <w:rFonts w:asciiTheme="majorBidi" w:hAnsiTheme="majorBidi" w:cstheme="majorBidi"/>
          <w:color w:val="000000" w:themeColor="text1"/>
        </w:rPr>
        <w:t>,</w:t>
      </w:r>
      <w:r w:rsidRPr="00D000B6">
        <w:rPr>
          <w:rFonts w:asciiTheme="majorBidi" w:hAnsiTheme="majorBidi" w:cstheme="majorBidi"/>
          <w:color w:val="000000" w:themeColor="text1"/>
          <w:szCs w:val="20"/>
        </w:rPr>
        <w:t xml:space="preserve"> “The Pa</w:t>
      </w:r>
      <w:r>
        <w:rPr>
          <w:rFonts w:asciiTheme="majorBidi" w:hAnsiTheme="majorBidi" w:cstheme="majorBidi"/>
          <w:color w:val="000000" w:themeColor="text1"/>
          <w:szCs w:val="20"/>
        </w:rPr>
        <w:t>lestine Liberation Organization</w:t>
      </w:r>
      <w:r w:rsidRPr="00D4643C">
        <w:rPr>
          <w:rFonts w:asciiTheme="majorBidi" w:hAnsiTheme="majorBidi" w:cstheme="majorBidi"/>
          <w:color w:val="000000" w:themeColor="text1"/>
          <w:szCs w:val="20"/>
        </w:rPr>
        <w:t>’</w:t>
      </w:r>
      <w:r w:rsidRPr="00D000B6">
        <w:rPr>
          <w:rFonts w:asciiTheme="majorBidi" w:hAnsiTheme="majorBidi" w:cstheme="majorBidi"/>
          <w:color w:val="000000" w:themeColor="text1"/>
          <w:szCs w:val="20"/>
        </w:rPr>
        <w:t>s Claim to Status: A Juridical Analysis under International Law”,</w:t>
      </w:r>
      <w:r w:rsidRPr="00D000B6">
        <w:rPr>
          <w:rFonts w:asciiTheme="majorBidi" w:hAnsiTheme="majorBidi" w:cstheme="majorBidi"/>
          <w:color w:val="000000" w:themeColor="text1"/>
        </w:rPr>
        <w:t xml:space="preserve"> </w:t>
      </w:r>
      <w:r w:rsidRPr="00D000B6">
        <w:rPr>
          <w:rFonts w:asciiTheme="majorBidi" w:hAnsiTheme="majorBidi" w:cstheme="majorBidi"/>
          <w:i/>
          <w:iCs/>
          <w:color w:val="000000" w:themeColor="text1"/>
          <w:szCs w:val="20"/>
        </w:rPr>
        <w:t>Denver Journal of International Law and Policy</w:t>
      </w:r>
      <w:r>
        <w:rPr>
          <w:rFonts w:asciiTheme="majorBidi" w:hAnsiTheme="majorBidi" w:cstheme="majorBidi"/>
          <w:color w:val="000000" w:themeColor="text1"/>
          <w:szCs w:val="20"/>
          <w:shd w:val="clear" w:color="auto" w:fill="FFFFFF"/>
        </w:rPr>
        <w:t xml:space="preserve">, </w:t>
      </w:r>
      <w:r w:rsidRPr="00D000B6">
        <w:rPr>
          <w:rFonts w:asciiTheme="majorBidi" w:hAnsiTheme="majorBidi" w:cstheme="majorBidi"/>
          <w:color w:val="000000" w:themeColor="text1"/>
          <w:szCs w:val="20"/>
          <w:shd w:val="clear" w:color="auto" w:fill="FFFFFF"/>
        </w:rPr>
        <w:t>9(1), 1980, 1-34.</w:t>
      </w:r>
    </w:p>
  </w:footnote>
  <w:footnote w:id="210">
    <w:p w:rsidR="00A7663B" w:rsidRPr="00D4643C" w:rsidRDefault="00A7663B" w:rsidP="00D4643C">
      <w:pPr>
        <w:pStyle w:val="FootnoteText"/>
        <w:jc w:val="both"/>
        <w:rPr>
          <w:rFonts w:asciiTheme="majorBidi" w:hAnsiTheme="majorBidi" w:cstheme="majorBidi"/>
          <w:color w:val="000000" w:themeColor="text1"/>
          <w:szCs w:val="20"/>
        </w:rPr>
      </w:pPr>
      <w:r w:rsidRPr="00D4643C">
        <w:rPr>
          <w:rStyle w:val="FootnoteReference"/>
          <w:rFonts w:asciiTheme="majorBidi" w:hAnsiTheme="majorBidi" w:cstheme="majorBidi"/>
          <w:color w:val="000000" w:themeColor="text1"/>
          <w:szCs w:val="20"/>
        </w:rPr>
        <w:footnoteRef/>
      </w:r>
      <w:r w:rsidRPr="00D4643C">
        <w:rPr>
          <w:rFonts w:asciiTheme="majorBidi" w:hAnsiTheme="majorBidi" w:cstheme="majorBidi"/>
          <w:color w:val="000000" w:themeColor="text1"/>
          <w:szCs w:val="20"/>
        </w:rPr>
        <w:t xml:space="preserve"> A. Khalil, “Palestinians to Citizens: Is Citizenship a Solution to the Palestinian Refugee Problem”, </w:t>
      </w:r>
      <w:r w:rsidRPr="00D4643C">
        <w:rPr>
          <w:rFonts w:asciiTheme="majorBidi" w:hAnsiTheme="majorBidi" w:cstheme="majorBidi"/>
          <w:i/>
          <w:iCs/>
          <w:color w:val="000000" w:themeColor="text1"/>
          <w:szCs w:val="20"/>
        </w:rPr>
        <w:t>Middle East Law and Governance</w:t>
      </w:r>
      <w:r w:rsidRPr="00D4643C">
        <w:rPr>
          <w:rFonts w:asciiTheme="majorBidi" w:hAnsiTheme="majorBidi" w:cstheme="majorBidi"/>
          <w:color w:val="000000" w:themeColor="text1"/>
          <w:szCs w:val="20"/>
        </w:rPr>
        <w:t>,</w:t>
      </w:r>
      <w:r w:rsidRPr="00D4643C">
        <w:rPr>
          <w:rFonts w:asciiTheme="majorBidi" w:hAnsiTheme="majorBidi" w:cstheme="majorBidi"/>
          <w:i/>
          <w:iCs/>
          <w:color w:val="000000" w:themeColor="text1"/>
          <w:szCs w:val="20"/>
        </w:rPr>
        <w:t xml:space="preserve"> </w:t>
      </w:r>
      <w:r w:rsidRPr="00D4643C">
        <w:rPr>
          <w:rFonts w:asciiTheme="majorBidi" w:hAnsiTheme="majorBidi" w:cstheme="majorBidi"/>
          <w:color w:val="000000" w:themeColor="text1"/>
          <w:szCs w:val="20"/>
        </w:rPr>
        <w:t xml:space="preserve">6(3), </w:t>
      </w:r>
      <w:r>
        <w:rPr>
          <w:rFonts w:asciiTheme="majorBidi" w:hAnsiTheme="majorBidi" w:cstheme="majorBidi"/>
          <w:color w:val="000000" w:themeColor="text1"/>
          <w:szCs w:val="20"/>
        </w:rPr>
        <w:t xml:space="preserve">2014, </w:t>
      </w:r>
      <w:r w:rsidRPr="00D4643C">
        <w:rPr>
          <w:rFonts w:asciiTheme="majorBidi" w:hAnsiTheme="majorBidi" w:cstheme="majorBidi"/>
          <w:color w:val="000000" w:themeColor="text1"/>
          <w:szCs w:val="20"/>
        </w:rPr>
        <w:t>204-224.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2891597"/>
      <w:docPartObj>
        <w:docPartGallery w:val="Page Numbers (Top of Page)"/>
        <w:docPartUnique/>
      </w:docPartObj>
    </w:sdtPr>
    <w:sdtEndPr/>
    <w:sdtContent>
      <w:p w:rsidR="00A7663B" w:rsidRDefault="00A7663B">
        <w:pPr>
          <w:pStyle w:val="Header"/>
        </w:pPr>
        <w:r>
          <w:fldChar w:fldCharType="begin"/>
        </w:r>
        <w:r>
          <w:instrText xml:space="preserve"> PAGE   \* MERGEFORMAT </w:instrText>
        </w:r>
        <w:r>
          <w:fldChar w:fldCharType="separate"/>
        </w:r>
        <w:r w:rsidR="001C014D">
          <w:rPr>
            <w:noProof/>
            <w:rtl/>
          </w:rPr>
          <w:t>1</w:t>
        </w:r>
        <w:r>
          <w:rPr>
            <w:noProof/>
          </w:rPr>
          <w:fldChar w:fldCharType="end"/>
        </w:r>
      </w:p>
    </w:sdtContent>
  </w:sdt>
  <w:p w:rsidR="00A7663B" w:rsidRDefault="00A76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5CA"/>
    <w:multiLevelType w:val="hybridMultilevel"/>
    <w:tmpl w:val="1B6C49F0"/>
    <w:lvl w:ilvl="0" w:tplc="07B4EF5E">
      <w:start w:val="16"/>
      <w:numFmt w:val="bullet"/>
      <w:lvlText w:val=""/>
      <w:lvlJc w:val="left"/>
      <w:pPr>
        <w:tabs>
          <w:tab w:val="num" w:pos="720"/>
        </w:tabs>
        <w:ind w:left="720" w:hanging="360"/>
      </w:pPr>
      <w:rPr>
        <w:rFonts w:ascii="Symbol" w:eastAsia="Times New Roman" w:hAnsi="Symbol"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942AD"/>
    <w:multiLevelType w:val="multilevel"/>
    <w:tmpl w:val="6030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74E00"/>
    <w:multiLevelType w:val="hybridMultilevel"/>
    <w:tmpl w:val="7CA8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85AF1"/>
    <w:multiLevelType w:val="hybridMultilevel"/>
    <w:tmpl w:val="1A56B134"/>
    <w:lvl w:ilvl="0" w:tplc="FE8CD6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204C4"/>
    <w:multiLevelType w:val="hybridMultilevel"/>
    <w:tmpl w:val="C856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F1D68"/>
    <w:multiLevelType w:val="hybridMultilevel"/>
    <w:tmpl w:val="C4E62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D384C19"/>
    <w:multiLevelType w:val="hybridMultilevel"/>
    <w:tmpl w:val="C73CB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0475D"/>
    <w:multiLevelType w:val="hybridMultilevel"/>
    <w:tmpl w:val="0ADABB58"/>
    <w:lvl w:ilvl="0" w:tplc="B6AEC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232A7"/>
    <w:multiLevelType w:val="hybridMultilevel"/>
    <w:tmpl w:val="D55E1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85532"/>
    <w:multiLevelType w:val="hybridMultilevel"/>
    <w:tmpl w:val="94A4F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D0493"/>
    <w:multiLevelType w:val="hybridMultilevel"/>
    <w:tmpl w:val="2D5A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9"/>
  </w:num>
  <w:num w:numId="5">
    <w:abstractNumId w:val="10"/>
  </w:num>
  <w:num w:numId="6">
    <w:abstractNumId w:val="7"/>
  </w:num>
  <w:num w:numId="7">
    <w:abstractNumId w:val="2"/>
  </w:num>
  <w:num w:numId="8">
    <w:abstractNumId w:val="6"/>
  </w:num>
  <w:num w:numId="9">
    <w:abstractNumId w:val="0"/>
  </w:num>
  <w:num w:numId="10">
    <w:abstractNumId w:val="5"/>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88"/>
    <w:rsid w:val="00000CDD"/>
    <w:rsid w:val="000050B4"/>
    <w:rsid w:val="00005590"/>
    <w:rsid w:val="000055E5"/>
    <w:rsid w:val="0001079E"/>
    <w:rsid w:val="00012F22"/>
    <w:rsid w:val="0001459D"/>
    <w:rsid w:val="000227DF"/>
    <w:rsid w:val="00026477"/>
    <w:rsid w:val="00034FAF"/>
    <w:rsid w:val="0003502E"/>
    <w:rsid w:val="00040447"/>
    <w:rsid w:val="0005344A"/>
    <w:rsid w:val="0006213A"/>
    <w:rsid w:val="00065C70"/>
    <w:rsid w:val="00065D3F"/>
    <w:rsid w:val="000826D7"/>
    <w:rsid w:val="00083819"/>
    <w:rsid w:val="00086061"/>
    <w:rsid w:val="000A16D6"/>
    <w:rsid w:val="000A5F3E"/>
    <w:rsid w:val="000A61A4"/>
    <w:rsid w:val="000A6FF3"/>
    <w:rsid w:val="000B75B3"/>
    <w:rsid w:val="000C03AF"/>
    <w:rsid w:val="000C18F4"/>
    <w:rsid w:val="000D69B4"/>
    <w:rsid w:val="000F4BE9"/>
    <w:rsid w:val="00100028"/>
    <w:rsid w:val="00117693"/>
    <w:rsid w:val="00120590"/>
    <w:rsid w:val="00121785"/>
    <w:rsid w:val="001325C8"/>
    <w:rsid w:val="00133ADB"/>
    <w:rsid w:val="00144AD6"/>
    <w:rsid w:val="0015020A"/>
    <w:rsid w:val="001520D4"/>
    <w:rsid w:val="001537FD"/>
    <w:rsid w:val="00154A51"/>
    <w:rsid w:val="001565DB"/>
    <w:rsid w:val="00157E5B"/>
    <w:rsid w:val="00163728"/>
    <w:rsid w:val="00164B4C"/>
    <w:rsid w:val="0016681B"/>
    <w:rsid w:val="00166DB9"/>
    <w:rsid w:val="0017030E"/>
    <w:rsid w:val="00171E17"/>
    <w:rsid w:val="001731B2"/>
    <w:rsid w:val="00181AE0"/>
    <w:rsid w:val="00183BC5"/>
    <w:rsid w:val="00196005"/>
    <w:rsid w:val="00196581"/>
    <w:rsid w:val="00197E27"/>
    <w:rsid w:val="001A2580"/>
    <w:rsid w:val="001A5A52"/>
    <w:rsid w:val="001A7C77"/>
    <w:rsid w:val="001C014D"/>
    <w:rsid w:val="001C1225"/>
    <w:rsid w:val="001C2559"/>
    <w:rsid w:val="001C2973"/>
    <w:rsid w:val="001D1315"/>
    <w:rsid w:val="001D5000"/>
    <w:rsid w:val="001D6AEC"/>
    <w:rsid w:val="001E70CB"/>
    <w:rsid w:val="001F236A"/>
    <w:rsid w:val="001F4907"/>
    <w:rsid w:val="001F4FF2"/>
    <w:rsid w:val="002111DF"/>
    <w:rsid w:val="0022215D"/>
    <w:rsid w:val="002356F9"/>
    <w:rsid w:val="00244ADC"/>
    <w:rsid w:val="002512D4"/>
    <w:rsid w:val="002652FE"/>
    <w:rsid w:val="002666CB"/>
    <w:rsid w:val="002675EC"/>
    <w:rsid w:val="002678CF"/>
    <w:rsid w:val="002708DB"/>
    <w:rsid w:val="00280BB9"/>
    <w:rsid w:val="002822C9"/>
    <w:rsid w:val="00284B6A"/>
    <w:rsid w:val="0028611F"/>
    <w:rsid w:val="002906BF"/>
    <w:rsid w:val="0029211F"/>
    <w:rsid w:val="002A0802"/>
    <w:rsid w:val="002A0B94"/>
    <w:rsid w:val="002A0F95"/>
    <w:rsid w:val="002A6E09"/>
    <w:rsid w:val="002C650D"/>
    <w:rsid w:val="002C714F"/>
    <w:rsid w:val="002D62D3"/>
    <w:rsid w:val="002D7205"/>
    <w:rsid w:val="002E5030"/>
    <w:rsid w:val="002F0AAF"/>
    <w:rsid w:val="00301494"/>
    <w:rsid w:val="003058CC"/>
    <w:rsid w:val="0031031F"/>
    <w:rsid w:val="0031083C"/>
    <w:rsid w:val="003216F6"/>
    <w:rsid w:val="00322BBE"/>
    <w:rsid w:val="00323D9A"/>
    <w:rsid w:val="00325A41"/>
    <w:rsid w:val="0034319B"/>
    <w:rsid w:val="003500E4"/>
    <w:rsid w:val="00352A73"/>
    <w:rsid w:val="00355547"/>
    <w:rsid w:val="003677F9"/>
    <w:rsid w:val="00371B22"/>
    <w:rsid w:val="00373ECC"/>
    <w:rsid w:val="00384AA2"/>
    <w:rsid w:val="00385B4D"/>
    <w:rsid w:val="00391458"/>
    <w:rsid w:val="0039324B"/>
    <w:rsid w:val="00394E26"/>
    <w:rsid w:val="003959CE"/>
    <w:rsid w:val="003969E4"/>
    <w:rsid w:val="003A14AF"/>
    <w:rsid w:val="003A4F94"/>
    <w:rsid w:val="003B0B8D"/>
    <w:rsid w:val="003B28B8"/>
    <w:rsid w:val="003B4898"/>
    <w:rsid w:val="003B5937"/>
    <w:rsid w:val="003C1207"/>
    <w:rsid w:val="003C6976"/>
    <w:rsid w:val="003C78CB"/>
    <w:rsid w:val="003D0975"/>
    <w:rsid w:val="003D2C6D"/>
    <w:rsid w:val="003D39A6"/>
    <w:rsid w:val="003D5BA1"/>
    <w:rsid w:val="003D7973"/>
    <w:rsid w:val="003E0B2D"/>
    <w:rsid w:val="003E1884"/>
    <w:rsid w:val="003E3201"/>
    <w:rsid w:val="003F4543"/>
    <w:rsid w:val="003F6749"/>
    <w:rsid w:val="003F765F"/>
    <w:rsid w:val="00405E10"/>
    <w:rsid w:val="00415F6A"/>
    <w:rsid w:val="0042027E"/>
    <w:rsid w:val="004219BD"/>
    <w:rsid w:val="00421C1A"/>
    <w:rsid w:val="004263CE"/>
    <w:rsid w:val="0042740E"/>
    <w:rsid w:val="00427C92"/>
    <w:rsid w:val="00431511"/>
    <w:rsid w:val="00435907"/>
    <w:rsid w:val="00435917"/>
    <w:rsid w:val="004366FB"/>
    <w:rsid w:val="0044178D"/>
    <w:rsid w:val="004439C9"/>
    <w:rsid w:val="00452407"/>
    <w:rsid w:val="004564D0"/>
    <w:rsid w:val="00457744"/>
    <w:rsid w:val="0046258B"/>
    <w:rsid w:val="00463E23"/>
    <w:rsid w:val="004654B6"/>
    <w:rsid w:val="00475B3A"/>
    <w:rsid w:val="00480816"/>
    <w:rsid w:val="00480DCC"/>
    <w:rsid w:val="004971CF"/>
    <w:rsid w:val="004974FA"/>
    <w:rsid w:val="00497A47"/>
    <w:rsid w:val="004A7F62"/>
    <w:rsid w:val="004B001B"/>
    <w:rsid w:val="004C7B59"/>
    <w:rsid w:val="004D1226"/>
    <w:rsid w:val="004D41D2"/>
    <w:rsid w:val="004D7D9E"/>
    <w:rsid w:val="004E246A"/>
    <w:rsid w:val="004E29FA"/>
    <w:rsid w:val="004E46D9"/>
    <w:rsid w:val="004E4CA4"/>
    <w:rsid w:val="004E5E3C"/>
    <w:rsid w:val="004F0038"/>
    <w:rsid w:val="004F3E26"/>
    <w:rsid w:val="004F7464"/>
    <w:rsid w:val="0050187C"/>
    <w:rsid w:val="0050427C"/>
    <w:rsid w:val="00514B03"/>
    <w:rsid w:val="00517E83"/>
    <w:rsid w:val="0052158F"/>
    <w:rsid w:val="00522D3F"/>
    <w:rsid w:val="00525F18"/>
    <w:rsid w:val="00526E74"/>
    <w:rsid w:val="00541B16"/>
    <w:rsid w:val="0054414C"/>
    <w:rsid w:val="0054428A"/>
    <w:rsid w:val="00544EEC"/>
    <w:rsid w:val="00545CA4"/>
    <w:rsid w:val="00557FC9"/>
    <w:rsid w:val="00561EC0"/>
    <w:rsid w:val="00566C0D"/>
    <w:rsid w:val="00574509"/>
    <w:rsid w:val="00576478"/>
    <w:rsid w:val="005765D6"/>
    <w:rsid w:val="00584B6F"/>
    <w:rsid w:val="00586396"/>
    <w:rsid w:val="005868AD"/>
    <w:rsid w:val="005924B9"/>
    <w:rsid w:val="005A1EDF"/>
    <w:rsid w:val="005A293F"/>
    <w:rsid w:val="005C0EC4"/>
    <w:rsid w:val="005C2763"/>
    <w:rsid w:val="005C6DBB"/>
    <w:rsid w:val="005D3CE8"/>
    <w:rsid w:val="005D5A7A"/>
    <w:rsid w:val="005D61C5"/>
    <w:rsid w:val="005F2272"/>
    <w:rsid w:val="006008C2"/>
    <w:rsid w:val="00600A57"/>
    <w:rsid w:val="00603F2A"/>
    <w:rsid w:val="00606F81"/>
    <w:rsid w:val="00613F67"/>
    <w:rsid w:val="00620888"/>
    <w:rsid w:val="00620A1D"/>
    <w:rsid w:val="0063405F"/>
    <w:rsid w:val="00635FF3"/>
    <w:rsid w:val="006401A2"/>
    <w:rsid w:val="006415CE"/>
    <w:rsid w:val="00665EC4"/>
    <w:rsid w:val="006771A2"/>
    <w:rsid w:val="00680952"/>
    <w:rsid w:val="00684ED5"/>
    <w:rsid w:val="006916CE"/>
    <w:rsid w:val="00692A72"/>
    <w:rsid w:val="00693F5D"/>
    <w:rsid w:val="006A2A2B"/>
    <w:rsid w:val="006A777F"/>
    <w:rsid w:val="006C288D"/>
    <w:rsid w:val="006C4827"/>
    <w:rsid w:val="006C7911"/>
    <w:rsid w:val="006D3095"/>
    <w:rsid w:val="006E0769"/>
    <w:rsid w:val="006E6842"/>
    <w:rsid w:val="006F02DC"/>
    <w:rsid w:val="006F04D2"/>
    <w:rsid w:val="00720BB3"/>
    <w:rsid w:val="0072356B"/>
    <w:rsid w:val="007301BB"/>
    <w:rsid w:val="00732B01"/>
    <w:rsid w:val="007402DC"/>
    <w:rsid w:val="0074309B"/>
    <w:rsid w:val="00744B9A"/>
    <w:rsid w:val="007471F9"/>
    <w:rsid w:val="00751B25"/>
    <w:rsid w:val="00751F16"/>
    <w:rsid w:val="00762FB7"/>
    <w:rsid w:val="007640BA"/>
    <w:rsid w:val="007712D7"/>
    <w:rsid w:val="0077276E"/>
    <w:rsid w:val="00773E17"/>
    <w:rsid w:val="00775088"/>
    <w:rsid w:val="0077601F"/>
    <w:rsid w:val="007800F0"/>
    <w:rsid w:val="00786671"/>
    <w:rsid w:val="0078726B"/>
    <w:rsid w:val="00790CB2"/>
    <w:rsid w:val="0079689E"/>
    <w:rsid w:val="007A15F7"/>
    <w:rsid w:val="007A1EF3"/>
    <w:rsid w:val="007A283D"/>
    <w:rsid w:val="007A5C70"/>
    <w:rsid w:val="007B6E18"/>
    <w:rsid w:val="007B7386"/>
    <w:rsid w:val="007C045A"/>
    <w:rsid w:val="007C244B"/>
    <w:rsid w:val="007D0218"/>
    <w:rsid w:val="007D0A52"/>
    <w:rsid w:val="007D185C"/>
    <w:rsid w:val="007D2810"/>
    <w:rsid w:val="007F4A55"/>
    <w:rsid w:val="00802844"/>
    <w:rsid w:val="008062F3"/>
    <w:rsid w:val="0081428B"/>
    <w:rsid w:val="0084112B"/>
    <w:rsid w:val="008414A1"/>
    <w:rsid w:val="0084424C"/>
    <w:rsid w:val="008442D0"/>
    <w:rsid w:val="00844AEC"/>
    <w:rsid w:val="00844D91"/>
    <w:rsid w:val="00846891"/>
    <w:rsid w:val="00853089"/>
    <w:rsid w:val="008610DC"/>
    <w:rsid w:val="00862C57"/>
    <w:rsid w:val="008727C6"/>
    <w:rsid w:val="00885C0C"/>
    <w:rsid w:val="00887EB7"/>
    <w:rsid w:val="00893F12"/>
    <w:rsid w:val="008A0178"/>
    <w:rsid w:val="008A1995"/>
    <w:rsid w:val="008A5D41"/>
    <w:rsid w:val="008A7BA1"/>
    <w:rsid w:val="008C2447"/>
    <w:rsid w:val="008C4A19"/>
    <w:rsid w:val="008D2028"/>
    <w:rsid w:val="008D24FF"/>
    <w:rsid w:val="008E56ED"/>
    <w:rsid w:val="008F3AE0"/>
    <w:rsid w:val="008F46A0"/>
    <w:rsid w:val="00901644"/>
    <w:rsid w:val="009017CA"/>
    <w:rsid w:val="00901973"/>
    <w:rsid w:val="00902439"/>
    <w:rsid w:val="00902689"/>
    <w:rsid w:val="009057E4"/>
    <w:rsid w:val="00912A21"/>
    <w:rsid w:val="009140E3"/>
    <w:rsid w:val="00917D1D"/>
    <w:rsid w:val="00923794"/>
    <w:rsid w:val="009244BD"/>
    <w:rsid w:val="00926984"/>
    <w:rsid w:val="00935D69"/>
    <w:rsid w:val="009362C5"/>
    <w:rsid w:val="00936FE9"/>
    <w:rsid w:val="00943740"/>
    <w:rsid w:val="00944FB6"/>
    <w:rsid w:val="0094700E"/>
    <w:rsid w:val="00950C2E"/>
    <w:rsid w:val="0095128C"/>
    <w:rsid w:val="00956186"/>
    <w:rsid w:val="00956533"/>
    <w:rsid w:val="00962B5B"/>
    <w:rsid w:val="0096407E"/>
    <w:rsid w:val="00967DC7"/>
    <w:rsid w:val="00995C2B"/>
    <w:rsid w:val="009A0DC4"/>
    <w:rsid w:val="009B2955"/>
    <w:rsid w:val="009C025E"/>
    <w:rsid w:val="009C2DBD"/>
    <w:rsid w:val="009C4F72"/>
    <w:rsid w:val="009C63C1"/>
    <w:rsid w:val="009D0A8E"/>
    <w:rsid w:val="009D4D15"/>
    <w:rsid w:val="009E09A8"/>
    <w:rsid w:val="009E4676"/>
    <w:rsid w:val="009E620C"/>
    <w:rsid w:val="009F0BCE"/>
    <w:rsid w:val="009F1316"/>
    <w:rsid w:val="009F266E"/>
    <w:rsid w:val="009F450E"/>
    <w:rsid w:val="009F6711"/>
    <w:rsid w:val="00A052D0"/>
    <w:rsid w:val="00A07021"/>
    <w:rsid w:val="00A13C4E"/>
    <w:rsid w:val="00A14439"/>
    <w:rsid w:val="00A204C7"/>
    <w:rsid w:val="00A232E8"/>
    <w:rsid w:val="00A43F14"/>
    <w:rsid w:val="00A44C5E"/>
    <w:rsid w:val="00A52788"/>
    <w:rsid w:val="00A52ABF"/>
    <w:rsid w:val="00A52B2B"/>
    <w:rsid w:val="00A61D42"/>
    <w:rsid w:val="00A63F6E"/>
    <w:rsid w:val="00A70764"/>
    <w:rsid w:val="00A712D1"/>
    <w:rsid w:val="00A73546"/>
    <w:rsid w:val="00A73BFA"/>
    <w:rsid w:val="00A74D28"/>
    <w:rsid w:val="00A7663B"/>
    <w:rsid w:val="00A769FF"/>
    <w:rsid w:val="00A96B41"/>
    <w:rsid w:val="00A96F39"/>
    <w:rsid w:val="00AA141F"/>
    <w:rsid w:val="00AB5D12"/>
    <w:rsid w:val="00AB6B68"/>
    <w:rsid w:val="00AC0549"/>
    <w:rsid w:val="00AC3C32"/>
    <w:rsid w:val="00AD51FD"/>
    <w:rsid w:val="00AD5F10"/>
    <w:rsid w:val="00AE54D8"/>
    <w:rsid w:val="00AE6425"/>
    <w:rsid w:val="00AF00F4"/>
    <w:rsid w:val="00AF21D0"/>
    <w:rsid w:val="00B04C71"/>
    <w:rsid w:val="00B05FBF"/>
    <w:rsid w:val="00B1022D"/>
    <w:rsid w:val="00B15EFD"/>
    <w:rsid w:val="00B224C7"/>
    <w:rsid w:val="00B2250E"/>
    <w:rsid w:val="00B22BBA"/>
    <w:rsid w:val="00B24932"/>
    <w:rsid w:val="00B26676"/>
    <w:rsid w:val="00B307C3"/>
    <w:rsid w:val="00B30C99"/>
    <w:rsid w:val="00B40A46"/>
    <w:rsid w:val="00B47CF2"/>
    <w:rsid w:val="00B5306C"/>
    <w:rsid w:val="00B5505D"/>
    <w:rsid w:val="00B556FC"/>
    <w:rsid w:val="00B639A8"/>
    <w:rsid w:val="00B646BF"/>
    <w:rsid w:val="00B64BF4"/>
    <w:rsid w:val="00B6725E"/>
    <w:rsid w:val="00B67797"/>
    <w:rsid w:val="00B67805"/>
    <w:rsid w:val="00B72314"/>
    <w:rsid w:val="00B8372B"/>
    <w:rsid w:val="00B969F9"/>
    <w:rsid w:val="00BA016A"/>
    <w:rsid w:val="00BA24F6"/>
    <w:rsid w:val="00BA3A67"/>
    <w:rsid w:val="00BA7C44"/>
    <w:rsid w:val="00BB3F4B"/>
    <w:rsid w:val="00BC3D11"/>
    <w:rsid w:val="00BD28B1"/>
    <w:rsid w:val="00BD4ED9"/>
    <w:rsid w:val="00BE2BB8"/>
    <w:rsid w:val="00BE4081"/>
    <w:rsid w:val="00BE68BE"/>
    <w:rsid w:val="00C007A2"/>
    <w:rsid w:val="00C0434A"/>
    <w:rsid w:val="00C12F7C"/>
    <w:rsid w:val="00C130B8"/>
    <w:rsid w:val="00C146B7"/>
    <w:rsid w:val="00C17079"/>
    <w:rsid w:val="00C17088"/>
    <w:rsid w:val="00C20C76"/>
    <w:rsid w:val="00C217A3"/>
    <w:rsid w:val="00C25664"/>
    <w:rsid w:val="00C30411"/>
    <w:rsid w:val="00C33D5E"/>
    <w:rsid w:val="00C41509"/>
    <w:rsid w:val="00C41C1C"/>
    <w:rsid w:val="00C44C21"/>
    <w:rsid w:val="00C45D49"/>
    <w:rsid w:val="00C50D58"/>
    <w:rsid w:val="00C51746"/>
    <w:rsid w:val="00C57148"/>
    <w:rsid w:val="00C57940"/>
    <w:rsid w:val="00C709B9"/>
    <w:rsid w:val="00C70CCE"/>
    <w:rsid w:val="00C958F7"/>
    <w:rsid w:val="00CA2CFE"/>
    <w:rsid w:val="00CA6272"/>
    <w:rsid w:val="00CB67F2"/>
    <w:rsid w:val="00CC6AB7"/>
    <w:rsid w:val="00CE0C43"/>
    <w:rsid w:val="00CE5268"/>
    <w:rsid w:val="00CF277A"/>
    <w:rsid w:val="00CF5B75"/>
    <w:rsid w:val="00D000B6"/>
    <w:rsid w:val="00D0089A"/>
    <w:rsid w:val="00D020E8"/>
    <w:rsid w:val="00D0597F"/>
    <w:rsid w:val="00D10C6F"/>
    <w:rsid w:val="00D15E15"/>
    <w:rsid w:val="00D252B0"/>
    <w:rsid w:val="00D33CD5"/>
    <w:rsid w:val="00D347D7"/>
    <w:rsid w:val="00D37AE8"/>
    <w:rsid w:val="00D42BF0"/>
    <w:rsid w:val="00D4640F"/>
    <w:rsid w:val="00D4643C"/>
    <w:rsid w:val="00D464F1"/>
    <w:rsid w:val="00D540D0"/>
    <w:rsid w:val="00D57E91"/>
    <w:rsid w:val="00D60ABE"/>
    <w:rsid w:val="00D652E5"/>
    <w:rsid w:val="00D65C50"/>
    <w:rsid w:val="00D66372"/>
    <w:rsid w:val="00D712AF"/>
    <w:rsid w:val="00D760C2"/>
    <w:rsid w:val="00D805F4"/>
    <w:rsid w:val="00D821AA"/>
    <w:rsid w:val="00D87798"/>
    <w:rsid w:val="00D95640"/>
    <w:rsid w:val="00D95685"/>
    <w:rsid w:val="00DA35E8"/>
    <w:rsid w:val="00DA4CCA"/>
    <w:rsid w:val="00DA6735"/>
    <w:rsid w:val="00DA6D8E"/>
    <w:rsid w:val="00DA6DF5"/>
    <w:rsid w:val="00DB2C68"/>
    <w:rsid w:val="00DB4F00"/>
    <w:rsid w:val="00DC004F"/>
    <w:rsid w:val="00DC109C"/>
    <w:rsid w:val="00DC28D8"/>
    <w:rsid w:val="00DD0CF7"/>
    <w:rsid w:val="00DD2FC7"/>
    <w:rsid w:val="00DE270D"/>
    <w:rsid w:val="00DE3862"/>
    <w:rsid w:val="00DE6991"/>
    <w:rsid w:val="00DF1667"/>
    <w:rsid w:val="00DF1774"/>
    <w:rsid w:val="00DF3999"/>
    <w:rsid w:val="00E05394"/>
    <w:rsid w:val="00E11E52"/>
    <w:rsid w:val="00E148C0"/>
    <w:rsid w:val="00E20284"/>
    <w:rsid w:val="00E30461"/>
    <w:rsid w:val="00E33EB5"/>
    <w:rsid w:val="00E360D8"/>
    <w:rsid w:val="00E37511"/>
    <w:rsid w:val="00E42799"/>
    <w:rsid w:val="00E447D0"/>
    <w:rsid w:val="00E46BFB"/>
    <w:rsid w:val="00E559AA"/>
    <w:rsid w:val="00E57834"/>
    <w:rsid w:val="00E61535"/>
    <w:rsid w:val="00E634BB"/>
    <w:rsid w:val="00E652CD"/>
    <w:rsid w:val="00E74696"/>
    <w:rsid w:val="00E77371"/>
    <w:rsid w:val="00E77D30"/>
    <w:rsid w:val="00E83223"/>
    <w:rsid w:val="00E83532"/>
    <w:rsid w:val="00E92404"/>
    <w:rsid w:val="00EA410F"/>
    <w:rsid w:val="00EA4A10"/>
    <w:rsid w:val="00EA7067"/>
    <w:rsid w:val="00EA7B59"/>
    <w:rsid w:val="00EB2BD5"/>
    <w:rsid w:val="00EB6D20"/>
    <w:rsid w:val="00EB7CE0"/>
    <w:rsid w:val="00EB7CEE"/>
    <w:rsid w:val="00EC35ED"/>
    <w:rsid w:val="00ED1B2D"/>
    <w:rsid w:val="00ED1D81"/>
    <w:rsid w:val="00ED24EA"/>
    <w:rsid w:val="00EE1657"/>
    <w:rsid w:val="00EE3EA4"/>
    <w:rsid w:val="00EE6653"/>
    <w:rsid w:val="00EF0F9D"/>
    <w:rsid w:val="00EF1222"/>
    <w:rsid w:val="00EF1DB3"/>
    <w:rsid w:val="00EF3C9B"/>
    <w:rsid w:val="00F00408"/>
    <w:rsid w:val="00F01A80"/>
    <w:rsid w:val="00F04988"/>
    <w:rsid w:val="00F069ED"/>
    <w:rsid w:val="00F11C60"/>
    <w:rsid w:val="00F130C3"/>
    <w:rsid w:val="00F13711"/>
    <w:rsid w:val="00F157D4"/>
    <w:rsid w:val="00F16F64"/>
    <w:rsid w:val="00F171C2"/>
    <w:rsid w:val="00F25DC1"/>
    <w:rsid w:val="00F25E93"/>
    <w:rsid w:val="00F357B3"/>
    <w:rsid w:val="00F378B1"/>
    <w:rsid w:val="00F4441A"/>
    <w:rsid w:val="00F57A23"/>
    <w:rsid w:val="00F613A0"/>
    <w:rsid w:val="00F61453"/>
    <w:rsid w:val="00F61DDE"/>
    <w:rsid w:val="00F662F2"/>
    <w:rsid w:val="00F702CD"/>
    <w:rsid w:val="00F70B32"/>
    <w:rsid w:val="00F74882"/>
    <w:rsid w:val="00F8174D"/>
    <w:rsid w:val="00F861A2"/>
    <w:rsid w:val="00F94070"/>
    <w:rsid w:val="00FA44FE"/>
    <w:rsid w:val="00FA6ED3"/>
    <w:rsid w:val="00FA7120"/>
    <w:rsid w:val="00FA7F5C"/>
    <w:rsid w:val="00FB0BFF"/>
    <w:rsid w:val="00FC0F69"/>
    <w:rsid w:val="00FC47C0"/>
    <w:rsid w:val="00FD0ADD"/>
    <w:rsid w:val="00FD5249"/>
    <w:rsid w:val="00FD7DC6"/>
    <w:rsid w:val="00FE2A79"/>
    <w:rsid w:val="00FE2B16"/>
    <w:rsid w:val="00FF2809"/>
    <w:rsid w:val="00FF4ACF"/>
    <w:rsid w:val="00FF4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2788"/>
    <w:pPr>
      <w:bidi/>
      <w:spacing w:after="0" w:line="240" w:lineRule="auto"/>
    </w:pPr>
    <w:rPr>
      <w:lang w:bidi="he-IL"/>
    </w:rPr>
  </w:style>
  <w:style w:type="paragraph" w:styleId="Heading1">
    <w:name w:val="heading 1"/>
    <w:basedOn w:val="Normal"/>
    <w:next w:val="Normal"/>
    <w:link w:val="Heading1Char"/>
    <w:uiPriority w:val="9"/>
    <w:qFormat/>
    <w:rsid w:val="00A52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A52788"/>
    <w:pPr>
      <w:bidi w:val="0"/>
      <w:spacing w:before="100" w:beforeAutospacing="1" w:after="100" w:afterAutospacing="1"/>
      <w:outlineLvl w:val="1"/>
    </w:pPr>
    <w:rPr>
      <w:rFonts w:ascii="Times New Roman" w:eastAsia="Times New Roman" w:hAnsi="Times New Roman" w:cs="Times New Roman"/>
      <w:b/>
      <w:bCs/>
      <w:sz w:val="36"/>
      <w:szCs w:val="36"/>
      <w:lang w:val="en-GB" w:eastAsia="en-GB" w:bidi="ar-SA"/>
    </w:rPr>
  </w:style>
  <w:style w:type="paragraph" w:styleId="Heading3">
    <w:name w:val="heading 3"/>
    <w:basedOn w:val="Normal"/>
    <w:next w:val="Normal"/>
    <w:link w:val="Heading3Char"/>
    <w:uiPriority w:val="9"/>
    <w:unhideWhenUsed/>
    <w:qFormat/>
    <w:rsid w:val="00A52788"/>
    <w:pPr>
      <w:keepNext/>
      <w:keepLines/>
      <w:bidi w:val="0"/>
      <w:spacing w:before="200"/>
      <w:outlineLvl w:val="2"/>
    </w:pPr>
    <w:rPr>
      <w:rFonts w:asciiTheme="majorHAnsi" w:eastAsiaTheme="majorEastAsia" w:hAnsiTheme="majorHAnsi" w:cstheme="majorBidi"/>
      <w:b/>
      <w:bCs/>
      <w:color w:val="4F81BD" w:themeColor="accent1"/>
      <w:sz w:val="24"/>
      <w:szCs w:val="24"/>
      <w:lang w:val="en-GB" w:eastAsia="en-GB" w:bidi="ar-SA"/>
    </w:rPr>
  </w:style>
  <w:style w:type="paragraph" w:styleId="Heading4">
    <w:name w:val="heading 4"/>
    <w:basedOn w:val="Normal"/>
    <w:next w:val="Normal"/>
    <w:link w:val="Heading4Char"/>
    <w:uiPriority w:val="9"/>
    <w:unhideWhenUsed/>
    <w:qFormat/>
    <w:rsid w:val="00A52788"/>
    <w:pPr>
      <w:keepNext/>
      <w:keepLines/>
      <w:bidi w:val="0"/>
      <w:spacing w:before="200"/>
      <w:outlineLvl w:val="3"/>
    </w:pPr>
    <w:rPr>
      <w:rFonts w:asciiTheme="majorHAnsi" w:eastAsiaTheme="majorEastAsia" w:hAnsiTheme="majorHAnsi" w:cstheme="majorBidi"/>
      <w:b/>
      <w:bCs/>
      <w:i/>
      <w:iCs/>
      <w:color w:val="4F81BD" w:themeColor="accent1"/>
      <w:sz w:val="24"/>
      <w:szCs w:val="24"/>
      <w:lang w:val="en-GB" w:eastAsia="en-GB" w:bidi="ar-SA"/>
    </w:rPr>
  </w:style>
  <w:style w:type="paragraph" w:styleId="Heading5">
    <w:name w:val="heading 5"/>
    <w:basedOn w:val="Normal"/>
    <w:link w:val="Heading5Char"/>
    <w:uiPriority w:val="9"/>
    <w:qFormat/>
    <w:rsid w:val="00A52788"/>
    <w:pPr>
      <w:bidi w:val="0"/>
      <w:spacing w:before="100" w:beforeAutospacing="1" w:after="100" w:afterAutospacing="1"/>
      <w:jc w:val="both"/>
      <w:outlineLvl w:val="4"/>
    </w:pPr>
    <w:rPr>
      <w:rFonts w:ascii="Times New Roman" w:eastAsia="Times New Roman" w:hAnsi="Times New Roman" w:cs="Times New Roman"/>
      <w:b/>
      <w:bCs/>
      <w:color w:val="555555"/>
      <w:sz w:val="20"/>
      <w:szCs w:val="20"/>
      <w:lang w:bidi="ar-SA"/>
    </w:rPr>
  </w:style>
  <w:style w:type="paragraph" w:styleId="Heading6">
    <w:name w:val="heading 6"/>
    <w:basedOn w:val="Normal"/>
    <w:next w:val="Normal"/>
    <w:link w:val="Heading6Char"/>
    <w:uiPriority w:val="9"/>
    <w:unhideWhenUsed/>
    <w:qFormat/>
    <w:rsid w:val="00A52788"/>
    <w:pPr>
      <w:keepNext/>
      <w:keepLines/>
      <w:bidi w:val="0"/>
      <w:spacing w:before="200"/>
      <w:outlineLvl w:val="5"/>
    </w:pPr>
    <w:rPr>
      <w:rFonts w:asciiTheme="majorHAnsi" w:eastAsiaTheme="majorEastAsia" w:hAnsiTheme="majorHAnsi" w:cstheme="majorBidi"/>
      <w:i/>
      <w:iCs/>
      <w:color w:val="243F60" w:themeColor="accent1" w:themeShade="7F"/>
      <w:sz w:val="24"/>
      <w:szCs w:val="24"/>
      <w:lang w:bidi="ar-SA"/>
    </w:rPr>
  </w:style>
  <w:style w:type="paragraph" w:styleId="Heading8">
    <w:name w:val="heading 8"/>
    <w:basedOn w:val="Normal"/>
    <w:next w:val="Normal"/>
    <w:link w:val="Heading8Char"/>
    <w:qFormat/>
    <w:rsid w:val="00A52788"/>
    <w:pPr>
      <w:keepNext/>
      <w:tabs>
        <w:tab w:val="left" w:pos="720"/>
      </w:tabs>
      <w:bidi w:val="0"/>
      <w:jc w:val="both"/>
      <w:outlineLvl w:val="7"/>
    </w:pPr>
    <w:rPr>
      <w:rFonts w:ascii="Times New Roman" w:eastAsia="Calibri" w:hAnsi="Times New Roman" w:cs="Times New Roman"/>
      <w:b/>
      <w:sz w:val="20"/>
      <w:szCs w:val="20"/>
      <w:lang w:val="en-GB"/>
    </w:rPr>
  </w:style>
  <w:style w:type="paragraph" w:styleId="Heading9">
    <w:name w:val="heading 9"/>
    <w:basedOn w:val="Normal"/>
    <w:next w:val="Normal"/>
    <w:link w:val="Heading9Char"/>
    <w:uiPriority w:val="9"/>
    <w:qFormat/>
    <w:rsid w:val="00A52788"/>
    <w:pPr>
      <w:bidi w:val="0"/>
      <w:spacing w:before="240" w:after="60"/>
      <w:outlineLvl w:val="8"/>
    </w:pPr>
    <w:rPr>
      <w:rFonts w:ascii="Cambria" w:eastAsia="Times New Roman" w:hAnsi="Cambria" w:cs="Times New Roman"/>
      <w:bCs/>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788"/>
    <w:rPr>
      <w:rFonts w:asciiTheme="majorHAnsi" w:eastAsiaTheme="majorEastAsia" w:hAnsiTheme="majorHAnsi" w:cstheme="majorBidi"/>
      <w:b/>
      <w:bCs/>
      <w:color w:val="365F91" w:themeColor="accent1" w:themeShade="BF"/>
      <w:sz w:val="28"/>
      <w:szCs w:val="28"/>
      <w:lang w:bidi="he-IL"/>
    </w:rPr>
  </w:style>
  <w:style w:type="character" w:customStyle="1" w:styleId="Heading2Char">
    <w:name w:val="Heading 2 Char"/>
    <w:basedOn w:val="DefaultParagraphFont"/>
    <w:link w:val="Heading2"/>
    <w:uiPriority w:val="99"/>
    <w:rsid w:val="00A52788"/>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A52788"/>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uiPriority w:val="9"/>
    <w:rsid w:val="00A52788"/>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uiPriority w:val="9"/>
    <w:rsid w:val="00A52788"/>
    <w:rPr>
      <w:rFonts w:ascii="Times New Roman" w:eastAsia="Times New Roman" w:hAnsi="Times New Roman" w:cs="Times New Roman"/>
      <w:b/>
      <w:bCs/>
      <w:color w:val="555555"/>
      <w:sz w:val="20"/>
      <w:szCs w:val="20"/>
    </w:rPr>
  </w:style>
  <w:style w:type="character" w:customStyle="1" w:styleId="Heading6Char">
    <w:name w:val="Heading 6 Char"/>
    <w:basedOn w:val="DefaultParagraphFont"/>
    <w:link w:val="Heading6"/>
    <w:uiPriority w:val="9"/>
    <w:rsid w:val="00A52788"/>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rsid w:val="00A52788"/>
    <w:rPr>
      <w:rFonts w:ascii="Times New Roman" w:eastAsia="Calibri" w:hAnsi="Times New Roman" w:cs="Times New Roman"/>
      <w:b/>
      <w:sz w:val="20"/>
      <w:szCs w:val="20"/>
      <w:lang w:val="en-GB" w:bidi="he-IL"/>
    </w:rPr>
  </w:style>
  <w:style w:type="character" w:customStyle="1" w:styleId="Heading9Char">
    <w:name w:val="Heading 9 Char"/>
    <w:basedOn w:val="DefaultParagraphFont"/>
    <w:link w:val="Heading9"/>
    <w:uiPriority w:val="9"/>
    <w:rsid w:val="00A52788"/>
    <w:rPr>
      <w:rFonts w:ascii="Cambria" w:eastAsia="Times New Roman" w:hAnsi="Cambria" w:cs="Times New Roman"/>
      <w:bCs/>
      <w:lang w:val="en-GB"/>
    </w:rPr>
  </w:style>
  <w:style w:type="paragraph" w:styleId="BalloonText">
    <w:name w:val="Balloon Text"/>
    <w:basedOn w:val="Normal"/>
    <w:link w:val="BalloonTextChar"/>
    <w:uiPriority w:val="99"/>
    <w:unhideWhenUsed/>
    <w:rsid w:val="00A52788"/>
    <w:rPr>
      <w:rFonts w:ascii="Tahoma" w:hAnsi="Tahoma" w:cs="Tahoma"/>
      <w:sz w:val="16"/>
      <w:szCs w:val="16"/>
    </w:rPr>
  </w:style>
  <w:style w:type="character" w:customStyle="1" w:styleId="BalloonTextChar">
    <w:name w:val="Balloon Text Char"/>
    <w:basedOn w:val="DefaultParagraphFont"/>
    <w:link w:val="BalloonText"/>
    <w:uiPriority w:val="99"/>
    <w:rsid w:val="00A52788"/>
    <w:rPr>
      <w:rFonts w:ascii="Tahoma" w:hAnsi="Tahoma" w:cs="Tahoma"/>
      <w:sz w:val="16"/>
      <w:szCs w:val="16"/>
      <w:lang w:bidi="he-IL"/>
    </w:rPr>
  </w:style>
  <w:style w:type="character" w:customStyle="1" w:styleId="hps">
    <w:name w:val="hps"/>
    <w:basedOn w:val="DefaultParagraphFont"/>
    <w:rsid w:val="00A52788"/>
  </w:style>
  <w:style w:type="character" w:styleId="Hyperlink">
    <w:name w:val="Hyperlink"/>
    <w:basedOn w:val="DefaultParagraphFont"/>
    <w:uiPriority w:val="99"/>
    <w:rsid w:val="00A52788"/>
    <w:rPr>
      <w:color w:val="0000FF"/>
      <w:u w:val="single"/>
    </w:rPr>
  </w:style>
  <w:style w:type="paragraph" w:styleId="FootnoteText">
    <w:name w:val="footnote text"/>
    <w:aliases w:val="Footnote,Text,fn,*Footnote Text,Footnotes,Footnote ak,DHFußn,Fußnotentext Char,Fußnotentext Char1 Char,Fußnotentext Char3 Char2 Char Char,Fußnotentext Char1 Char4 Char2 Char Char,Fußnotentext Char3 Char Char Char2 Char Char,Fußnotentext C"/>
    <w:basedOn w:val="Normal"/>
    <w:link w:val="FootnoteTextChar"/>
    <w:unhideWhenUsed/>
    <w:rsid w:val="00A52788"/>
    <w:pPr>
      <w:bidi w:val="0"/>
    </w:pPr>
    <w:rPr>
      <w:rFonts w:ascii="Times New Roman" w:eastAsia="Times New Roman" w:hAnsi="Times New Roman" w:cs="Angsana New"/>
      <w:sz w:val="20"/>
      <w:szCs w:val="25"/>
      <w:lang w:bidi="th-TH"/>
    </w:rPr>
  </w:style>
  <w:style w:type="character" w:customStyle="1" w:styleId="FootnoteTextChar">
    <w:name w:val="Footnote Text Char"/>
    <w:aliases w:val="Footnote Char1,Text Char1,fn Char1,*Footnote Text Char1,Footnotes Char1,Footnote ak Char1,DHFußn Char1,Fußnotentext Char Char1,Fußnotentext Char1 Char Char1,Fußnotentext Char3 Char2 Char Char Char1,Fußnotentext C Char"/>
    <w:basedOn w:val="DefaultParagraphFont"/>
    <w:link w:val="FootnoteText"/>
    <w:rsid w:val="00A52788"/>
    <w:rPr>
      <w:rFonts w:ascii="Times New Roman" w:eastAsia="Times New Roman" w:hAnsi="Times New Roman" w:cs="Angsana New"/>
      <w:sz w:val="20"/>
      <w:szCs w:val="25"/>
      <w:lang w:bidi="th-TH"/>
    </w:rPr>
  </w:style>
  <w:style w:type="paragraph" w:styleId="NormalWeb">
    <w:name w:val="Normal (Web)"/>
    <w:basedOn w:val="Normal"/>
    <w:uiPriority w:val="99"/>
    <w:rsid w:val="00A52788"/>
    <w:pPr>
      <w:bidi w:val="0"/>
      <w:spacing w:before="100" w:beforeAutospacing="1" w:after="100" w:afterAutospacing="1"/>
    </w:pPr>
    <w:rPr>
      <w:rFonts w:ascii="Tahoma" w:eastAsia="Times New Roman" w:hAnsi="Tahoma" w:cs="Tahoma"/>
      <w:color w:val="000000"/>
      <w:sz w:val="24"/>
      <w:szCs w:val="24"/>
      <w:lang w:bidi="th-TH"/>
    </w:rPr>
  </w:style>
  <w:style w:type="paragraph" w:styleId="BodyText">
    <w:name w:val="Body Text"/>
    <w:aliases w:val="block style"/>
    <w:basedOn w:val="Normal"/>
    <w:link w:val="BodyTextChar"/>
    <w:rsid w:val="00A52788"/>
    <w:rPr>
      <w:rFonts w:ascii="Times New Roman" w:eastAsia="Times New Roman" w:hAnsi="Times New Roman" w:cs="Simplified Arabic"/>
      <w:sz w:val="20"/>
      <w:szCs w:val="28"/>
      <w:lang w:eastAsia="ar-SA" w:bidi="ar-SA"/>
    </w:rPr>
  </w:style>
  <w:style w:type="character" w:customStyle="1" w:styleId="BodyTextChar">
    <w:name w:val="Body Text Char"/>
    <w:aliases w:val="block style Char"/>
    <w:basedOn w:val="DefaultParagraphFont"/>
    <w:link w:val="BodyText"/>
    <w:rsid w:val="00A52788"/>
    <w:rPr>
      <w:rFonts w:ascii="Times New Roman" w:eastAsia="Times New Roman" w:hAnsi="Times New Roman" w:cs="Simplified Arabic"/>
      <w:sz w:val="20"/>
      <w:szCs w:val="28"/>
      <w:lang w:eastAsia="ar-SA"/>
    </w:rPr>
  </w:style>
  <w:style w:type="character" w:customStyle="1" w:styleId="st1">
    <w:name w:val="st1"/>
    <w:basedOn w:val="DefaultParagraphFont"/>
    <w:rsid w:val="00A52788"/>
  </w:style>
  <w:style w:type="paragraph" w:styleId="HTMLPreformatted">
    <w:name w:val="HTML Preformatted"/>
    <w:basedOn w:val="Normal"/>
    <w:link w:val="HTMLPreformattedChar"/>
    <w:uiPriority w:val="99"/>
    <w:unhideWhenUsed/>
    <w:rsid w:val="00A5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Times New Roman"/>
      <w:sz w:val="20"/>
      <w:szCs w:val="20"/>
      <w:lang w:bidi="ar-SA"/>
    </w:rPr>
  </w:style>
  <w:style w:type="character" w:customStyle="1" w:styleId="HTMLPreformattedChar">
    <w:name w:val="HTML Preformatted Char"/>
    <w:basedOn w:val="DefaultParagraphFont"/>
    <w:link w:val="HTMLPreformatted"/>
    <w:uiPriority w:val="99"/>
    <w:rsid w:val="00A52788"/>
    <w:rPr>
      <w:rFonts w:ascii="Courier New" w:eastAsia="Times New Roman" w:hAnsi="Courier New" w:cs="Times New Roman"/>
      <w:sz w:val="20"/>
      <w:szCs w:val="20"/>
    </w:rPr>
  </w:style>
  <w:style w:type="paragraph" w:customStyle="1" w:styleId="Corps">
    <w:name w:val="Corps"/>
    <w:rsid w:val="00A52788"/>
    <w:pPr>
      <w:spacing w:after="0" w:line="240" w:lineRule="auto"/>
    </w:pPr>
    <w:rPr>
      <w:rFonts w:ascii="Helvetica" w:eastAsia="ヒラギノ角ゴ Pro W3" w:hAnsi="Helvetica" w:cs="Times New Roman"/>
      <w:color w:val="000000"/>
      <w:sz w:val="24"/>
      <w:szCs w:val="20"/>
      <w:lang w:val="fr-FR"/>
    </w:rPr>
  </w:style>
  <w:style w:type="paragraph" w:styleId="ListParagraph">
    <w:name w:val="List Paragraph"/>
    <w:basedOn w:val="Normal"/>
    <w:uiPriority w:val="34"/>
    <w:qFormat/>
    <w:rsid w:val="00A52788"/>
    <w:pPr>
      <w:bidi w:val="0"/>
      <w:spacing w:after="200"/>
      <w:ind w:left="720"/>
      <w:contextualSpacing/>
      <w:jc w:val="center"/>
    </w:pPr>
    <w:rPr>
      <w:rFonts w:ascii="Calibri" w:eastAsia="Calibri" w:hAnsi="Calibri" w:cs="Arial"/>
      <w:sz w:val="24"/>
      <w:lang w:bidi="ar-SA"/>
    </w:rPr>
  </w:style>
  <w:style w:type="character" w:styleId="FootnoteReference">
    <w:name w:val="footnote reference"/>
    <w:basedOn w:val="DefaultParagraphFont"/>
    <w:unhideWhenUsed/>
    <w:rsid w:val="00A52788"/>
    <w:rPr>
      <w:vertAlign w:val="superscript"/>
    </w:rPr>
  </w:style>
  <w:style w:type="character" w:customStyle="1" w:styleId="apple-style-span">
    <w:name w:val="apple-style-span"/>
    <w:basedOn w:val="DefaultParagraphFont"/>
    <w:uiPriority w:val="99"/>
    <w:rsid w:val="00A52788"/>
  </w:style>
  <w:style w:type="character" w:styleId="Emphasis">
    <w:name w:val="Emphasis"/>
    <w:basedOn w:val="DefaultParagraphFont"/>
    <w:uiPriority w:val="20"/>
    <w:qFormat/>
    <w:rsid w:val="00A52788"/>
    <w:rPr>
      <w:i/>
      <w:iCs/>
    </w:rPr>
  </w:style>
  <w:style w:type="character" w:styleId="Strong">
    <w:name w:val="Strong"/>
    <w:basedOn w:val="DefaultParagraphFont"/>
    <w:uiPriority w:val="22"/>
    <w:qFormat/>
    <w:rsid w:val="00A52788"/>
    <w:rPr>
      <w:b/>
      <w:bCs/>
    </w:rPr>
  </w:style>
  <w:style w:type="paragraph" w:styleId="Header">
    <w:name w:val="header"/>
    <w:basedOn w:val="Normal"/>
    <w:link w:val="HeaderChar"/>
    <w:uiPriority w:val="99"/>
    <w:unhideWhenUsed/>
    <w:rsid w:val="00A52788"/>
    <w:pPr>
      <w:tabs>
        <w:tab w:val="center" w:pos="4153"/>
        <w:tab w:val="right" w:pos="8306"/>
      </w:tabs>
    </w:pPr>
  </w:style>
  <w:style w:type="character" w:customStyle="1" w:styleId="HeaderChar">
    <w:name w:val="Header Char"/>
    <w:basedOn w:val="DefaultParagraphFont"/>
    <w:link w:val="Header"/>
    <w:uiPriority w:val="99"/>
    <w:rsid w:val="00A52788"/>
    <w:rPr>
      <w:lang w:bidi="he-IL"/>
    </w:rPr>
  </w:style>
  <w:style w:type="paragraph" w:styleId="Footer">
    <w:name w:val="footer"/>
    <w:basedOn w:val="Normal"/>
    <w:link w:val="FooterChar"/>
    <w:uiPriority w:val="99"/>
    <w:unhideWhenUsed/>
    <w:rsid w:val="00A52788"/>
    <w:pPr>
      <w:tabs>
        <w:tab w:val="center" w:pos="4153"/>
        <w:tab w:val="right" w:pos="8306"/>
      </w:tabs>
    </w:pPr>
  </w:style>
  <w:style w:type="character" w:customStyle="1" w:styleId="FooterChar">
    <w:name w:val="Footer Char"/>
    <w:basedOn w:val="DefaultParagraphFont"/>
    <w:link w:val="Footer"/>
    <w:uiPriority w:val="99"/>
    <w:rsid w:val="00A52788"/>
    <w:rPr>
      <w:lang w:bidi="he-IL"/>
    </w:rPr>
  </w:style>
  <w:style w:type="paragraph" w:styleId="BodyText3">
    <w:name w:val="Body Text 3"/>
    <w:basedOn w:val="Normal"/>
    <w:link w:val="BodyText3Char"/>
    <w:rsid w:val="00A52788"/>
    <w:pPr>
      <w:bidi w:val="0"/>
    </w:pPr>
    <w:rPr>
      <w:rFonts w:ascii="Times New Roman" w:eastAsia="Times New Roman" w:hAnsi="Times New Roman" w:cs="Tahoma"/>
      <w:sz w:val="28"/>
      <w:szCs w:val="20"/>
      <w:lang w:bidi="ar-SA"/>
    </w:rPr>
  </w:style>
  <w:style w:type="character" w:customStyle="1" w:styleId="BodyText3Char">
    <w:name w:val="Body Text 3 Char"/>
    <w:basedOn w:val="DefaultParagraphFont"/>
    <w:link w:val="BodyText3"/>
    <w:rsid w:val="00A52788"/>
    <w:rPr>
      <w:rFonts w:ascii="Times New Roman" w:eastAsia="Times New Roman" w:hAnsi="Times New Roman" w:cs="Tahoma"/>
      <w:sz w:val="28"/>
      <w:szCs w:val="20"/>
    </w:rPr>
  </w:style>
  <w:style w:type="paragraph" w:customStyle="1" w:styleId="id5">
    <w:name w:val="id5"/>
    <w:basedOn w:val="Normal"/>
    <w:rsid w:val="00A52788"/>
    <w:pPr>
      <w:bidi w:val="0"/>
      <w:spacing w:after="150"/>
    </w:pPr>
    <w:rPr>
      <w:rFonts w:ascii="Times New Roman" w:eastAsia="Times New Roman" w:hAnsi="Times New Roman" w:cs="Times New Roman"/>
      <w:sz w:val="24"/>
      <w:szCs w:val="24"/>
    </w:rPr>
  </w:style>
  <w:style w:type="character" w:customStyle="1" w:styleId="ZchnZchn7">
    <w:name w:val="Zchn Zchn7"/>
    <w:basedOn w:val="DefaultParagraphFont"/>
    <w:uiPriority w:val="99"/>
    <w:rsid w:val="00A52788"/>
    <w:rPr>
      <w:rFonts w:ascii="Cambria" w:eastAsia="Times New Roman" w:hAnsi="Cambria" w:cs="Times New Roman"/>
      <w:b/>
      <w:bCs/>
      <w:i/>
      <w:iCs/>
      <w:sz w:val="28"/>
      <w:szCs w:val="28"/>
      <w:lang w:val="en-US" w:eastAsia="en-US"/>
    </w:rPr>
  </w:style>
  <w:style w:type="character" w:customStyle="1" w:styleId="ZchnZchn6">
    <w:name w:val="Zchn Zchn6"/>
    <w:basedOn w:val="DefaultParagraphFont"/>
    <w:uiPriority w:val="99"/>
    <w:rsid w:val="00A52788"/>
    <w:rPr>
      <w:rFonts w:ascii="Calibri" w:eastAsia="Times New Roman" w:hAnsi="Calibri" w:cs="Times New Roman"/>
      <w:b/>
      <w:bCs/>
      <w:i/>
      <w:iCs/>
      <w:sz w:val="26"/>
      <w:szCs w:val="26"/>
      <w:lang w:val="en-US" w:eastAsia="en-US"/>
    </w:rPr>
  </w:style>
  <w:style w:type="character" w:customStyle="1" w:styleId="ZchnZchn5">
    <w:name w:val="Zchn Zchn5"/>
    <w:basedOn w:val="DefaultParagraphFont"/>
    <w:uiPriority w:val="99"/>
    <w:rsid w:val="00A52788"/>
    <w:rPr>
      <w:rFonts w:ascii="Tahoma" w:hAnsi="Tahoma" w:cs="Tahoma"/>
      <w:sz w:val="16"/>
      <w:szCs w:val="16"/>
      <w:lang w:val="en-US" w:eastAsia="en-US"/>
    </w:rPr>
  </w:style>
  <w:style w:type="character" w:customStyle="1" w:styleId="CharChar5">
    <w:name w:val="Char Char5"/>
    <w:basedOn w:val="DefaultParagraphFont"/>
    <w:uiPriority w:val="99"/>
    <w:rsid w:val="00A52788"/>
    <w:rPr>
      <w:rFonts w:ascii="Calibri" w:eastAsia="Times New Roman" w:hAnsi="Calibri" w:cs="Times New Roman"/>
      <w:b/>
      <w:bCs/>
      <w:i/>
      <w:iCs/>
      <w:sz w:val="26"/>
      <w:szCs w:val="26"/>
      <w:lang w:val="en-US" w:eastAsia="en-US"/>
    </w:rPr>
  </w:style>
  <w:style w:type="paragraph" w:customStyle="1" w:styleId="Default">
    <w:name w:val="Default"/>
    <w:rsid w:val="00A52788"/>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styleId="TOC1">
    <w:name w:val="toc 1"/>
    <w:basedOn w:val="Default"/>
    <w:next w:val="Default"/>
    <w:autoRedefine/>
    <w:uiPriority w:val="39"/>
    <w:rsid w:val="00A52788"/>
    <w:rPr>
      <w:color w:val="auto"/>
    </w:rPr>
  </w:style>
  <w:style w:type="character" w:customStyle="1" w:styleId="FootnoteChar">
    <w:name w:val="Footnote Char"/>
    <w:aliases w:val="Text Char,fn Char,*Footnote Text Char,Footnotes Char,Footnote ak Char,DHFußn Char,Fußnotentext Char Char,Fußnotentext Char1 Char Char,Fußnotentext Char3 Char2 Char Char Char,Fußnotentext Char1 Char4 Char2 Char Char Char"/>
    <w:basedOn w:val="DefaultParagraphFont"/>
    <w:uiPriority w:val="99"/>
    <w:rsid w:val="00A52788"/>
    <w:rPr>
      <w:sz w:val="20"/>
      <w:szCs w:val="20"/>
      <w:lang w:val="en-US" w:eastAsia="en-US"/>
    </w:rPr>
  </w:style>
  <w:style w:type="paragraph" w:customStyle="1" w:styleId="Default1">
    <w:name w:val="Default1"/>
    <w:basedOn w:val="Default"/>
    <w:next w:val="Default"/>
    <w:uiPriority w:val="99"/>
    <w:rsid w:val="00A52788"/>
    <w:rPr>
      <w:color w:val="auto"/>
    </w:rPr>
  </w:style>
  <w:style w:type="character" w:customStyle="1" w:styleId="text31">
    <w:name w:val="text31"/>
    <w:uiPriority w:val="99"/>
    <w:rsid w:val="00A52788"/>
    <w:rPr>
      <w:color w:val="000000"/>
      <w:sz w:val="20"/>
      <w:szCs w:val="20"/>
    </w:rPr>
  </w:style>
  <w:style w:type="character" w:customStyle="1" w:styleId="longdesc1">
    <w:name w:val="long_desc1"/>
    <w:uiPriority w:val="99"/>
    <w:rsid w:val="00A52788"/>
    <w:rPr>
      <w:color w:val="000000"/>
    </w:rPr>
  </w:style>
  <w:style w:type="character" w:customStyle="1" w:styleId="title1">
    <w:name w:val="title1"/>
    <w:rsid w:val="00A52788"/>
    <w:rPr>
      <w:color w:val="000000"/>
      <w:sz w:val="20"/>
      <w:szCs w:val="20"/>
    </w:rPr>
  </w:style>
  <w:style w:type="paragraph" w:customStyle="1" w:styleId="NormalWeb1">
    <w:name w:val="Normal (Web)1"/>
    <w:basedOn w:val="Normal"/>
    <w:uiPriority w:val="99"/>
    <w:rsid w:val="00A52788"/>
    <w:pPr>
      <w:bidi w:val="0"/>
      <w:spacing w:before="100" w:beforeAutospacing="1" w:after="100" w:afterAutospacing="1"/>
      <w:jc w:val="both"/>
    </w:pPr>
    <w:rPr>
      <w:rFonts w:ascii="Times New Roman" w:eastAsia="Times New Roman" w:hAnsi="Times New Roman" w:cs="Times New Roman"/>
      <w:sz w:val="24"/>
      <w:szCs w:val="24"/>
      <w:lang w:val="fr-FR" w:eastAsia="fr-FR" w:bidi="ar-SA"/>
    </w:rPr>
  </w:style>
  <w:style w:type="character" w:customStyle="1" w:styleId="CharChar4">
    <w:name w:val="Char Char4"/>
    <w:basedOn w:val="DefaultParagraphFont"/>
    <w:uiPriority w:val="99"/>
    <w:rsid w:val="00A52788"/>
    <w:rPr>
      <w:rFonts w:ascii="Tahoma" w:hAnsi="Tahoma" w:cs="Tahoma"/>
      <w:sz w:val="16"/>
      <w:szCs w:val="16"/>
      <w:lang w:val="en-US" w:eastAsia="en-US"/>
    </w:rPr>
  </w:style>
  <w:style w:type="character" w:styleId="CommentReference">
    <w:name w:val="annotation reference"/>
    <w:basedOn w:val="DefaultParagraphFont"/>
    <w:uiPriority w:val="99"/>
    <w:rsid w:val="00A52788"/>
    <w:rPr>
      <w:sz w:val="18"/>
      <w:szCs w:val="18"/>
    </w:rPr>
  </w:style>
  <w:style w:type="paragraph" w:styleId="CommentText">
    <w:name w:val="annotation text"/>
    <w:basedOn w:val="Normal"/>
    <w:link w:val="CommentTextChar"/>
    <w:uiPriority w:val="99"/>
    <w:rsid w:val="00A52788"/>
    <w:pPr>
      <w:bidi w:val="0"/>
      <w:jc w:val="both"/>
    </w:pPr>
    <w:rPr>
      <w:rFonts w:ascii="Times New Roman" w:eastAsia="Times New Roman" w:hAnsi="Times New Roman" w:cs="Times New Roman"/>
      <w:sz w:val="24"/>
      <w:szCs w:val="24"/>
      <w:lang w:bidi="ar-SA"/>
    </w:rPr>
  </w:style>
  <w:style w:type="character" w:customStyle="1" w:styleId="CommentTextChar">
    <w:name w:val="Comment Text Char"/>
    <w:basedOn w:val="DefaultParagraphFont"/>
    <w:link w:val="CommentText"/>
    <w:uiPriority w:val="99"/>
    <w:rsid w:val="00A52788"/>
    <w:rPr>
      <w:rFonts w:ascii="Times New Roman" w:eastAsia="Times New Roman" w:hAnsi="Times New Roman" w:cs="Times New Roman"/>
      <w:sz w:val="24"/>
      <w:szCs w:val="24"/>
    </w:rPr>
  </w:style>
  <w:style w:type="character" w:customStyle="1" w:styleId="ZchnZchn4">
    <w:name w:val="Zchn Zchn4"/>
    <w:basedOn w:val="DefaultParagraphFont"/>
    <w:uiPriority w:val="99"/>
    <w:rsid w:val="00A52788"/>
    <w:rPr>
      <w:sz w:val="20"/>
      <w:szCs w:val="20"/>
      <w:lang w:val="en-US" w:eastAsia="en-US"/>
    </w:rPr>
  </w:style>
  <w:style w:type="character" w:customStyle="1" w:styleId="CharChar3">
    <w:name w:val="Char Char3"/>
    <w:basedOn w:val="DefaultParagraphFont"/>
    <w:uiPriority w:val="99"/>
    <w:rsid w:val="00A52788"/>
    <w:rPr>
      <w:sz w:val="20"/>
      <w:szCs w:val="20"/>
      <w:lang w:val="en-US" w:eastAsia="en-US"/>
    </w:rPr>
  </w:style>
  <w:style w:type="paragraph" w:styleId="CommentSubject">
    <w:name w:val="annotation subject"/>
    <w:basedOn w:val="CommentText"/>
    <w:next w:val="CommentText"/>
    <w:link w:val="CommentSubjectChar"/>
    <w:uiPriority w:val="99"/>
    <w:rsid w:val="00A52788"/>
  </w:style>
  <w:style w:type="character" w:customStyle="1" w:styleId="CommentSubjectChar">
    <w:name w:val="Comment Subject Char"/>
    <w:basedOn w:val="CommentTextChar"/>
    <w:link w:val="CommentSubject"/>
    <w:uiPriority w:val="99"/>
    <w:rsid w:val="00A52788"/>
    <w:rPr>
      <w:rFonts w:ascii="Times New Roman" w:eastAsia="Times New Roman" w:hAnsi="Times New Roman" w:cs="Times New Roman"/>
      <w:sz w:val="24"/>
      <w:szCs w:val="24"/>
    </w:rPr>
  </w:style>
  <w:style w:type="character" w:customStyle="1" w:styleId="ZchnZchn3">
    <w:name w:val="Zchn Zchn3"/>
    <w:basedOn w:val="ZchnZchn4"/>
    <w:uiPriority w:val="99"/>
    <w:rsid w:val="00A52788"/>
    <w:rPr>
      <w:b/>
      <w:bCs/>
      <w:sz w:val="20"/>
      <w:szCs w:val="20"/>
      <w:lang w:val="en-US" w:eastAsia="en-US"/>
    </w:rPr>
  </w:style>
  <w:style w:type="character" w:customStyle="1" w:styleId="CharChar2">
    <w:name w:val="Char Char2"/>
    <w:basedOn w:val="CharChar3"/>
    <w:uiPriority w:val="99"/>
    <w:rsid w:val="00A52788"/>
    <w:rPr>
      <w:b/>
      <w:bCs/>
      <w:sz w:val="20"/>
      <w:szCs w:val="20"/>
      <w:lang w:val="en-US" w:eastAsia="en-US"/>
    </w:rPr>
  </w:style>
  <w:style w:type="character" w:customStyle="1" w:styleId="ZchnZchn2">
    <w:name w:val="Zchn Zchn2"/>
    <w:basedOn w:val="DefaultParagraphFont"/>
    <w:uiPriority w:val="99"/>
    <w:rsid w:val="00A52788"/>
    <w:rPr>
      <w:sz w:val="24"/>
      <w:szCs w:val="24"/>
      <w:lang w:val="en-US" w:eastAsia="en-US"/>
    </w:rPr>
  </w:style>
  <w:style w:type="character" w:customStyle="1" w:styleId="CharChar1">
    <w:name w:val="Char Char1"/>
    <w:basedOn w:val="DefaultParagraphFont"/>
    <w:uiPriority w:val="99"/>
    <w:rsid w:val="00A52788"/>
    <w:rPr>
      <w:sz w:val="24"/>
      <w:szCs w:val="24"/>
      <w:lang w:val="en-US" w:eastAsia="en-US"/>
    </w:rPr>
  </w:style>
  <w:style w:type="character" w:styleId="PageNumber">
    <w:name w:val="page number"/>
    <w:basedOn w:val="DefaultParagraphFont"/>
    <w:uiPriority w:val="99"/>
    <w:rsid w:val="00A52788"/>
  </w:style>
  <w:style w:type="character" w:customStyle="1" w:styleId="ZchnZchn1">
    <w:name w:val="Zchn Zchn1"/>
    <w:basedOn w:val="DefaultParagraphFont"/>
    <w:uiPriority w:val="99"/>
    <w:rsid w:val="00A52788"/>
    <w:rPr>
      <w:sz w:val="24"/>
      <w:szCs w:val="24"/>
      <w:lang w:val="en-US" w:eastAsia="en-US"/>
    </w:rPr>
  </w:style>
  <w:style w:type="character" w:customStyle="1" w:styleId="CharChar">
    <w:name w:val="Char Char"/>
    <w:basedOn w:val="DefaultParagraphFont"/>
    <w:uiPriority w:val="99"/>
    <w:rsid w:val="00A52788"/>
    <w:rPr>
      <w:sz w:val="24"/>
      <w:szCs w:val="24"/>
      <w:lang w:val="en-US" w:eastAsia="en-US"/>
    </w:rPr>
  </w:style>
  <w:style w:type="character" w:styleId="FollowedHyperlink">
    <w:name w:val="FollowedHyperlink"/>
    <w:basedOn w:val="DefaultParagraphFont"/>
    <w:uiPriority w:val="99"/>
    <w:rsid w:val="00A52788"/>
    <w:rPr>
      <w:color w:val="800080"/>
      <w:u w:val="single"/>
    </w:rPr>
  </w:style>
  <w:style w:type="character" w:customStyle="1" w:styleId="documentbody">
    <w:name w:val="documentbody"/>
    <w:basedOn w:val="DefaultParagraphFont"/>
    <w:uiPriority w:val="99"/>
    <w:rsid w:val="00A52788"/>
  </w:style>
  <w:style w:type="paragraph" w:customStyle="1" w:styleId="Standa">
    <w:name w:val="Standa"/>
    <w:uiPriority w:val="99"/>
    <w:rsid w:val="00A52788"/>
    <w:rPr>
      <w:rFonts w:ascii="Calibri" w:eastAsia="Times New Roman" w:hAnsi="Calibri" w:cs="Calibri"/>
      <w:lang w:val="de-DE" w:eastAsia="de-DE"/>
    </w:rPr>
  </w:style>
  <w:style w:type="character" w:customStyle="1" w:styleId="reportcitation">
    <w:name w:val="reportcitation"/>
    <w:basedOn w:val="DefaultParagraphFont"/>
    <w:uiPriority w:val="99"/>
    <w:rsid w:val="00A52788"/>
  </w:style>
  <w:style w:type="character" w:customStyle="1" w:styleId="CharChar6">
    <w:name w:val="Char Char6"/>
    <w:basedOn w:val="DefaultParagraphFont"/>
    <w:uiPriority w:val="99"/>
    <w:rsid w:val="00A52788"/>
    <w:rPr>
      <w:rFonts w:ascii="Cambria" w:eastAsia="Times New Roman" w:hAnsi="Cambria" w:cs="Times New Roman"/>
      <w:b/>
      <w:bCs/>
      <w:i/>
      <w:iCs/>
      <w:sz w:val="28"/>
      <w:szCs w:val="28"/>
      <w:lang w:val="en-US" w:eastAsia="en-US"/>
    </w:rPr>
  </w:style>
  <w:style w:type="character" w:customStyle="1" w:styleId="A1">
    <w:name w:val="A1"/>
    <w:uiPriority w:val="99"/>
    <w:rsid w:val="00A52788"/>
    <w:rPr>
      <w:color w:val="000000"/>
      <w:sz w:val="22"/>
      <w:szCs w:val="22"/>
    </w:rPr>
  </w:style>
  <w:style w:type="paragraph" w:styleId="DocumentMap">
    <w:name w:val="Document Map"/>
    <w:basedOn w:val="Normal"/>
    <w:link w:val="DocumentMapChar"/>
    <w:uiPriority w:val="99"/>
    <w:rsid w:val="00A52788"/>
    <w:pPr>
      <w:shd w:val="clear" w:color="auto" w:fill="000080"/>
      <w:autoSpaceDE w:val="0"/>
      <w:autoSpaceDN w:val="0"/>
      <w:bidi w:val="0"/>
      <w:adjustRightInd w:val="0"/>
      <w:jc w:val="both"/>
    </w:pPr>
    <w:rPr>
      <w:rFonts w:ascii="Tahoma" w:eastAsia="Times New Roman" w:hAnsi="Tahoma" w:cs="Tahoma"/>
      <w:sz w:val="20"/>
      <w:szCs w:val="20"/>
      <w:lang w:bidi="ar-SA"/>
    </w:rPr>
  </w:style>
  <w:style w:type="character" w:customStyle="1" w:styleId="DocumentMapChar">
    <w:name w:val="Document Map Char"/>
    <w:basedOn w:val="DefaultParagraphFont"/>
    <w:link w:val="DocumentMap"/>
    <w:uiPriority w:val="99"/>
    <w:rsid w:val="00A52788"/>
    <w:rPr>
      <w:rFonts w:ascii="Tahoma" w:eastAsia="Times New Roman" w:hAnsi="Tahoma" w:cs="Tahoma"/>
      <w:sz w:val="20"/>
      <w:szCs w:val="20"/>
      <w:shd w:val="clear" w:color="auto" w:fill="000080"/>
    </w:rPr>
  </w:style>
  <w:style w:type="character" w:customStyle="1" w:styleId="ZchnZchn">
    <w:name w:val="Zchn Zchn"/>
    <w:basedOn w:val="DefaultParagraphFont"/>
    <w:uiPriority w:val="99"/>
    <w:rsid w:val="00A52788"/>
    <w:rPr>
      <w:rFonts w:ascii="Tahoma" w:hAnsi="Tahoma" w:cs="Tahoma"/>
      <w:sz w:val="16"/>
      <w:szCs w:val="16"/>
      <w:lang w:val="en-US" w:eastAsia="en-US"/>
    </w:rPr>
  </w:style>
  <w:style w:type="paragraph" w:customStyle="1" w:styleId="sdfootnote">
    <w:name w:val="sdfootnote"/>
    <w:basedOn w:val="Normal"/>
    <w:uiPriority w:val="99"/>
    <w:rsid w:val="00A52788"/>
    <w:pPr>
      <w:bidi w:val="0"/>
      <w:spacing w:before="100" w:beforeAutospacing="1"/>
    </w:pPr>
    <w:rPr>
      <w:rFonts w:ascii="Times" w:eastAsia="Times New Roman" w:hAnsi="Times" w:cs="Times"/>
      <w:sz w:val="20"/>
      <w:szCs w:val="20"/>
      <w:lang w:bidi="ar-SA"/>
    </w:rPr>
  </w:style>
  <w:style w:type="character" w:customStyle="1" w:styleId="citation">
    <w:name w:val="citation"/>
    <w:basedOn w:val="DefaultParagraphFont"/>
    <w:rsid w:val="00A52788"/>
  </w:style>
  <w:style w:type="character" w:customStyle="1" w:styleId="printonly">
    <w:name w:val="printonly"/>
    <w:basedOn w:val="DefaultParagraphFont"/>
    <w:uiPriority w:val="99"/>
    <w:rsid w:val="00A52788"/>
  </w:style>
  <w:style w:type="character" w:customStyle="1" w:styleId="reference-accessdate">
    <w:name w:val="reference-accessdate"/>
    <w:basedOn w:val="DefaultParagraphFont"/>
    <w:rsid w:val="00A52788"/>
  </w:style>
  <w:style w:type="character" w:customStyle="1" w:styleId="z3988">
    <w:name w:val="z3988"/>
    <w:basedOn w:val="DefaultParagraphFont"/>
    <w:uiPriority w:val="99"/>
    <w:rsid w:val="00A52788"/>
  </w:style>
  <w:style w:type="paragraph" w:styleId="TOC2">
    <w:name w:val="toc 2"/>
    <w:basedOn w:val="Normal"/>
    <w:next w:val="Normal"/>
    <w:autoRedefine/>
    <w:uiPriority w:val="39"/>
    <w:unhideWhenUsed/>
    <w:rsid w:val="00A52788"/>
    <w:pPr>
      <w:spacing w:after="100"/>
      <w:ind w:left="220"/>
    </w:pPr>
  </w:style>
  <w:style w:type="paragraph" w:styleId="Title">
    <w:name w:val="Title"/>
    <w:basedOn w:val="Normal"/>
    <w:next w:val="Normal"/>
    <w:link w:val="TitleChar"/>
    <w:autoRedefine/>
    <w:uiPriority w:val="99"/>
    <w:qFormat/>
    <w:rsid w:val="00A52788"/>
    <w:pPr>
      <w:bidi w:val="0"/>
      <w:spacing w:after="120"/>
      <w:jc w:val="center"/>
    </w:pPr>
    <w:rPr>
      <w:rFonts w:ascii="Times New Roman" w:eastAsia="Calibri" w:hAnsi="Times New Roman" w:cs="Times New Roman"/>
      <w:b/>
      <w:iCs/>
      <w:smallCaps/>
      <w:spacing w:val="5"/>
      <w:kern w:val="28"/>
      <w:sz w:val="36"/>
      <w:szCs w:val="28"/>
      <w:lang w:bidi="ar-SA"/>
    </w:rPr>
  </w:style>
  <w:style w:type="character" w:customStyle="1" w:styleId="TitleChar">
    <w:name w:val="Title Char"/>
    <w:basedOn w:val="DefaultParagraphFont"/>
    <w:link w:val="Title"/>
    <w:uiPriority w:val="99"/>
    <w:rsid w:val="00A52788"/>
    <w:rPr>
      <w:rFonts w:ascii="Times New Roman" w:eastAsia="Calibri" w:hAnsi="Times New Roman" w:cs="Times New Roman"/>
      <w:b/>
      <w:iCs/>
      <w:smallCaps/>
      <w:spacing w:val="5"/>
      <w:kern w:val="28"/>
      <w:sz w:val="36"/>
      <w:szCs w:val="28"/>
    </w:rPr>
  </w:style>
  <w:style w:type="paragraph" w:styleId="Subtitle">
    <w:name w:val="Subtitle"/>
    <w:basedOn w:val="Normal"/>
    <w:next w:val="Normal"/>
    <w:link w:val="SubtitleChar"/>
    <w:uiPriority w:val="99"/>
    <w:qFormat/>
    <w:rsid w:val="00A52788"/>
    <w:pPr>
      <w:numPr>
        <w:ilvl w:val="1"/>
      </w:numPr>
      <w:bidi w:val="0"/>
      <w:spacing w:line="276" w:lineRule="auto"/>
      <w:ind w:firstLine="288"/>
      <w:jc w:val="both"/>
    </w:pPr>
    <w:rPr>
      <w:rFonts w:ascii="Cambria" w:eastAsia="Calibri" w:hAnsi="Cambria" w:cs="Cambria"/>
      <w:i/>
      <w:iCs/>
      <w:color w:val="4F81BD"/>
      <w:spacing w:val="15"/>
      <w:sz w:val="24"/>
      <w:szCs w:val="24"/>
      <w:lang w:bidi="ar-SA"/>
    </w:rPr>
  </w:style>
  <w:style w:type="character" w:customStyle="1" w:styleId="SubtitleChar">
    <w:name w:val="Subtitle Char"/>
    <w:basedOn w:val="DefaultParagraphFont"/>
    <w:link w:val="Subtitle"/>
    <w:uiPriority w:val="99"/>
    <w:rsid w:val="00A52788"/>
    <w:rPr>
      <w:rFonts w:ascii="Cambria" w:eastAsia="Calibri" w:hAnsi="Cambria" w:cs="Cambria"/>
      <w:i/>
      <w:iCs/>
      <w:color w:val="4F81BD"/>
      <w:spacing w:val="15"/>
      <w:sz w:val="24"/>
      <w:szCs w:val="24"/>
    </w:rPr>
  </w:style>
  <w:style w:type="character" w:styleId="SubtleEmphasis">
    <w:name w:val="Subtle Emphasis"/>
    <w:basedOn w:val="DefaultParagraphFont"/>
    <w:uiPriority w:val="99"/>
    <w:qFormat/>
    <w:rsid w:val="00A52788"/>
    <w:rPr>
      <w:rFonts w:cs="Times New Roman"/>
      <w:i/>
      <w:iCs/>
      <w:color w:val="808080"/>
    </w:rPr>
  </w:style>
  <w:style w:type="character" w:customStyle="1" w:styleId="apple-converted-space">
    <w:name w:val="apple-converted-space"/>
    <w:basedOn w:val="DefaultParagraphFont"/>
    <w:rsid w:val="00A52788"/>
    <w:rPr>
      <w:rFonts w:cs="Times New Roman"/>
    </w:rPr>
  </w:style>
  <w:style w:type="character" w:customStyle="1" w:styleId="pmterms2">
    <w:name w:val="pmterms2"/>
    <w:basedOn w:val="DefaultParagraphFont"/>
    <w:uiPriority w:val="99"/>
    <w:rsid w:val="00A52788"/>
    <w:rPr>
      <w:rFonts w:cs="Times New Roman"/>
    </w:rPr>
  </w:style>
  <w:style w:type="character" w:styleId="BookTitle">
    <w:name w:val="Book Title"/>
    <w:basedOn w:val="DefaultParagraphFont"/>
    <w:uiPriority w:val="99"/>
    <w:qFormat/>
    <w:rsid w:val="00A52788"/>
    <w:rPr>
      <w:rFonts w:cs="Times New Roman"/>
      <w:b/>
      <w:bCs/>
      <w:smallCaps/>
      <w:spacing w:val="5"/>
    </w:rPr>
  </w:style>
  <w:style w:type="paragraph" w:styleId="NoSpacing">
    <w:name w:val="No Spacing"/>
    <w:uiPriority w:val="99"/>
    <w:qFormat/>
    <w:rsid w:val="00A52788"/>
    <w:pPr>
      <w:spacing w:after="0" w:line="240" w:lineRule="auto"/>
      <w:ind w:firstLine="288"/>
      <w:jc w:val="both"/>
    </w:pPr>
    <w:rPr>
      <w:rFonts w:ascii="Garamond" w:eastAsia="Times New Roman" w:hAnsi="Garamond" w:cs="Garamond"/>
      <w:sz w:val="24"/>
      <w:szCs w:val="24"/>
    </w:rPr>
  </w:style>
  <w:style w:type="paragraph" w:styleId="TOC3">
    <w:name w:val="toc 3"/>
    <w:basedOn w:val="Normal"/>
    <w:next w:val="Normal"/>
    <w:autoRedefine/>
    <w:uiPriority w:val="39"/>
    <w:rsid w:val="00A52788"/>
    <w:pPr>
      <w:bidi w:val="0"/>
      <w:spacing w:line="276" w:lineRule="auto"/>
      <w:ind w:left="480" w:firstLine="288"/>
    </w:pPr>
    <w:rPr>
      <w:rFonts w:ascii="Calibri" w:eastAsia="Times New Roman" w:hAnsi="Calibri" w:cs="Garamond"/>
      <w:i/>
      <w:iCs/>
      <w:sz w:val="20"/>
      <w:szCs w:val="20"/>
      <w:lang w:bidi="ar-SA"/>
    </w:rPr>
  </w:style>
  <w:style w:type="paragraph" w:styleId="EndnoteText">
    <w:name w:val="endnote text"/>
    <w:basedOn w:val="Normal"/>
    <w:link w:val="EndnoteTextChar"/>
    <w:uiPriority w:val="99"/>
    <w:rsid w:val="00A52788"/>
    <w:pPr>
      <w:bidi w:val="0"/>
      <w:ind w:firstLine="288"/>
      <w:jc w:val="both"/>
    </w:pPr>
    <w:rPr>
      <w:rFonts w:ascii="Garamond" w:eastAsia="Times New Roman" w:hAnsi="Garamond" w:cs="Garamond"/>
      <w:sz w:val="20"/>
      <w:szCs w:val="20"/>
      <w:lang w:bidi="ar-SA"/>
    </w:rPr>
  </w:style>
  <w:style w:type="character" w:customStyle="1" w:styleId="EndnoteTextChar">
    <w:name w:val="Endnote Text Char"/>
    <w:basedOn w:val="DefaultParagraphFont"/>
    <w:link w:val="EndnoteText"/>
    <w:uiPriority w:val="99"/>
    <w:rsid w:val="00A52788"/>
    <w:rPr>
      <w:rFonts w:ascii="Garamond" w:eastAsia="Times New Roman" w:hAnsi="Garamond" w:cs="Garamond"/>
      <w:sz w:val="20"/>
      <w:szCs w:val="20"/>
    </w:rPr>
  </w:style>
  <w:style w:type="character" w:styleId="EndnoteReference">
    <w:name w:val="endnote reference"/>
    <w:basedOn w:val="DefaultParagraphFont"/>
    <w:uiPriority w:val="99"/>
    <w:rsid w:val="00A52788"/>
    <w:rPr>
      <w:rFonts w:cs="Times New Roman"/>
      <w:vertAlign w:val="superscript"/>
    </w:rPr>
  </w:style>
  <w:style w:type="character" w:customStyle="1" w:styleId="citationweb">
    <w:name w:val="citation web"/>
    <w:basedOn w:val="DefaultParagraphFont"/>
    <w:uiPriority w:val="99"/>
    <w:rsid w:val="00A52788"/>
    <w:rPr>
      <w:rFonts w:cs="Times New Roman"/>
    </w:rPr>
  </w:style>
  <w:style w:type="character" w:customStyle="1" w:styleId="PlainTextChar">
    <w:name w:val="Plain Text Char"/>
    <w:basedOn w:val="DefaultParagraphFont"/>
    <w:link w:val="PlainText"/>
    <w:uiPriority w:val="99"/>
    <w:semiHidden/>
    <w:rsid w:val="00A52788"/>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A52788"/>
    <w:pPr>
      <w:bidi w:val="0"/>
    </w:pPr>
    <w:rPr>
      <w:rFonts w:ascii="Consolas" w:eastAsia="Calibri" w:hAnsi="Consolas" w:cs="Times New Roman"/>
      <w:sz w:val="21"/>
      <w:szCs w:val="21"/>
      <w:lang w:bidi="ar-SA"/>
    </w:rPr>
  </w:style>
  <w:style w:type="character" w:customStyle="1" w:styleId="PlainTextChar1">
    <w:name w:val="Plain Text Char1"/>
    <w:basedOn w:val="DefaultParagraphFont"/>
    <w:uiPriority w:val="99"/>
    <w:semiHidden/>
    <w:rsid w:val="00A52788"/>
    <w:rPr>
      <w:rFonts w:ascii="Consolas" w:hAnsi="Consolas" w:cs="Consolas"/>
      <w:sz w:val="21"/>
      <w:szCs w:val="21"/>
      <w:lang w:bidi="he-IL"/>
    </w:rPr>
  </w:style>
  <w:style w:type="paragraph" w:styleId="TOC4">
    <w:name w:val="toc 4"/>
    <w:basedOn w:val="Normal"/>
    <w:next w:val="Normal"/>
    <w:autoRedefine/>
    <w:rsid w:val="00A52788"/>
    <w:pPr>
      <w:bidi w:val="0"/>
      <w:spacing w:line="276" w:lineRule="auto"/>
      <w:ind w:left="720" w:firstLine="288"/>
    </w:pPr>
    <w:rPr>
      <w:rFonts w:ascii="Calibri" w:eastAsia="Times New Roman" w:hAnsi="Calibri" w:cs="Garamond"/>
      <w:sz w:val="18"/>
      <w:szCs w:val="18"/>
      <w:lang w:bidi="ar-SA"/>
    </w:rPr>
  </w:style>
  <w:style w:type="paragraph" w:styleId="TOC5">
    <w:name w:val="toc 5"/>
    <w:basedOn w:val="Normal"/>
    <w:next w:val="Normal"/>
    <w:autoRedefine/>
    <w:rsid w:val="00A52788"/>
    <w:pPr>
      <w:bidi w:val="0"/>
      <w:spacing w:line="276" w:lineRule="auto"/>
      <w:ind w:left="960" w:firstLine="288"/>
    </w:pPr>
    <w:rPr>
      <w:rFonts w:ascii="Calibri" w:eastAsia="Times New Roman" w:hAnsi="Calibri" w:cs="Garamond"/>
      <w:sz w:val="18"/>
      <w:szCs w:val="18"/>
      <w:lang w:bidi="ar-SA"/>
    </w:rPr>
  </w:style>
  <w:style w:type="paragraph" w:styleId="TOC6">
    <w:name w:val="toc 6"/>
    <w:basedOn w:val="Normal"/>
    <w:next w:val="Normal"/>
    <w:autoRedefine/>
    <w:rsid w:val="00A52788"/>
    <w:pPr>
      <w:bidi w:val="0"/>
      <w:spacing w:line="276" w:lineRule="auto"/>
      <w:ind w:left="1200" w:firstLine="288"/>
    </w:pPr>
    <w:rPr>
      <w:rFonts w:ascii="Calibri" w:eastAsia="Times New Roman" w:hAnsi="Calibri" w:cs="Garamond"/>
      <w:sz w:val="18"/>
      <w:szCs w:val="18"/>
      <w:lang w:bidi="ar-SA"/>
    </w:rPr>
  </w:style>
  <w:style w:type="paragraph" w:styleId="TOC7">
    <w:name w:val="toc 7"/>
    <w:basedOn w:val="Normal"/>
    <w:next w:val="Normal"/>
    <w:autoRedefine/>
    <w:rsid w:val="00A52788"/>
    <w:pPr>
      <w:bidi w:val="0"/>
      <w:spacing w:line="276" w:lineRule="auto"/>
      <w:ind w:left="1440" w:firstLine="288"/>
    </w:pPr>
    <w:rPr>
      <w:rFonts w:ascii="Calibri" w:eastAsia="Times New Roman" w:hAnsi="Calibri" w:cs="Garamond"/>
      <w:sz w:val="18"/>
      <w:szCs w:val="18"/>
      <w:lang w:bidi="ar-SA"/>
    </w:rPr>
  </w:style>
  <w:style w:type="paragraph" w:styleId="TOC8">
    <w:name w:val="toc 8"/>
    <w:basedOn w:val="Normal"/>
    <w:next w:val="Normal"/>
    <w:autoRedefine/>
    <w:rsid w:val="00A52788"/>
    <w:pPr>
      <w:bidi w:val="0"/>
      <w:spacing w:line="276" w:lineRule="auto"/>
      <w:ind w:left="1680" w:firstLine="288"/>
    </w:pPr>
    <w:rPr>
      <w:rFonts w:ascii="Calibri" w:eastAsia="Times New Roman" w:hAnsi="Calibri" w:cs="Garamond"/>
      <w:sz w:val="18"/>
      <w:szCs w:val="18"/>
      <w:lang w:bidi="ar-SA"/>
    </w:rPr>
  </w:style>
  <w:style w:type="paragraph" w:styleId="TOC9">
    <w:name w:val="toc 9"/>
    <w:basedOn w:val="Normal"/>
    <w:next w:val="Normal"/>
    <w:autoRedefine/>
    <w:rsid w:val="00A52788"/>
    <w:pPr>
      <w:bidi w:val="0"/>
      <w:spacing w:line="276" w:lineRule="auto"/>
      <w:ind w:left="1920" w:firstLine="288"/>
    </w:pPr>
    <w:rPr>
      <w:rFonts w:ascii="Calibri" w:eastAsia="Times New Roman" w:hAnsi="Calibri" w:cs="Garamond"/>
      <w:sz w:val="18"/>
      <w:szCs w:val="18"/>
      <w:lang w:bidi="ar-SA"/>
    </w:rPr>
  </w:style>
  <w:style w:type="paragraph" w:styleId="Caption">
    <w:name w:val="caption"/>
    <w:basedOn w:val="Normal"/>
    <w:next w:val="Normal"/>
    <w:unhideWhenUsed/>
    <w:qFormat/>
    <w:rsid w:val="00A52788"/>
    <w:pPr>
      <w:bidi w:val="0"/>
      <w:spacing w:line="276" w:lineRule="auto"/>
      <w:ind w:firstLine="288"/>
      <w:jc w:val="both"/>
    </w:pPr>
    <w:rPr>
      <w:rFonts w:ascii="Garamond" w:eastAsia="Times New Roman" w:hAnsi="Garamond" w:cs="Garamond"/>
      <w:b/>
      <w:bCs/>
      <w:sz w:val="20"/>
      <w:szCs w:val="20"/>
      <w:lang w:bidi="ar-SA"/>
    </w:rPr>
  </w:style>
  <w:style w:type="character" w:customStyle="1" w:styleId="add">
    <w:name w:val="add"/>
    <w:basedOn w:val="DefaultParagraphFont"/>
    <w:rsid w:val="00A52788"/>
  </w:style>
  <w:style w:type="character" w:customStyle="1" w:styleId="FootnoteCharacters">
    <w:name w:val="Footnote Characters"/>
    <w:basedOn w:val="DefaultParagraphFont"/>
    <w:rsid w:val="00A52788"/>
    <w:rPr>
      <w:rFonts w:cs="Times New Roman"/>
      <w:vertAlign w:val="superscript"/>
    </w:rPr>
  </w:style>
  <w:style w:type="character" w:customStyle="1" w:styleId="FootnoteReference1">
    <w:name w:val="Footnote Reference1"/>
    <w:rsid w:val="00A52788"/>
    <w:rPr>
      <w:vertAlign w:val="superscript"/>
    </w:rPr>
  </w:style>
  <w:style w:type="character" w:styleId="HTMLTypewriter">
    <w:name w:val="HTML Typewriter"/>
    <w:basedOn w:val="DefaultParagraphFont"/>
    <w:uiPriority w:val="99"/>
    <w:rsid w:val="00A52788"/>
    <w:rPr>
      <w:rFonts w:ascii="Verdana" w:hAnsi="Verdana" w:cs="Courier New"/>
      <w:sz w:val="18"/>
      <w:szCs w:val="18"/>
    </w:rPr>
  </w:style>
  <w:style w:type="paragraph" w:customStyle="1" w:styleId="plist">
    <w:name w:val="plist"/>
    <w:basedOn w:val="Normal"/>
    <w:rsid w:val="00A52788"/>
    <w:pPr>
      <w:bidi w:val="0"/>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Refdenotaalpie">
    <w:name w:val="Ref. de nota al pie"/>
    <w:uiPriority w:val="99"/>
    <w:rsid w:val="00A52788"/>
    <w:rPr>
      <w:color w:val="000000"/>
    </w:rPr>
  </w:style>
  <w:style w:type="character" w:customStyle="1" w:styleId="ft">
    <w:name w:val="ft"/>
    <w:basedOn w:val="DefaultParagraphFont"/>
    <w:rsid w:val="00A52788"/>
    <w:rPr>
      <w:rFonts w:cs="Times New Roman"/>
    </w:rPr>
  </w:style>
  <w:style w:type="character" w:customStyle="1" w:styleId="ff31">
    <w:name w:val="ff31"/>
    <w:basedOn w:val="DefaultParagraphFont"/>
    <w:uiPriority w:val="99"/>
    <w:rsid w:val="00A52788"/>
    <w:rPr>
      <w:rFonts w:ascii="ff3" w:hAnsi="ff3" w:cs="Times New Roman"/>
    </w:rPr>
  </w:style>
  <w:style w:type="character" w:customStyle="1" w:styleId="shortdesc1">
    <w:name w:val="short_desc1"/>
    <w:basedOn w:val="DefaultParagraphFont"/>
    <w:rsid w:val="00A52788"/>
    <w:rPr>
      <w:rFonts w:ascii="Verdana" w:hAnsi="Verdana" w:cs="Times New Roman"/>
      <w:color w:val="000000"/>
      <w:sz w:val="15"/>
      <w:szCs w:val="15"/>
      <w:u w:val="none"/>
      <w:effect w:val="none"/>
    </w:rPr>
  </w:style>
  <w:style w:type="paragraph" w:customStyle="1" w:styleId="style3">
    <w:name w:val="style3"/>
    <w:basedOn w:val="Normal"/>
    <w:rsid w:val="00A52788"/>
    <w:pPr>
      <w:bidi w:val="0"/>
      <w:spacing w:before="100" w:beforeAutospacing="1" w:after="100" w:afterAutospacing="1"/>
    </w:pPr>
    <w:rPr>
      <w:rFonts w:ascii="Georgia" w:eastAsia="Times New Roman" w:hAnsi="Georgia" w:cs="Times New Roman"/>
      <w:sz w:val="24"/>
      <w:szCs w:val="24"/>
      <w:lang w:val="en-GB" w:eastAsia="en-GB" w:bidi="ar-SA"/>
    </w:rPr>
  </w:style>
  <w:style w:type="character" w:customStyle="1" w:styleId="lucenesearchresulturlb">
    <w:name w:val="lucene_search_result_url_b"/>
    <w:basedOn w:val="DefaultParagraphFont"/>
    <w:rsid w:val="00A52788"/>
  </w:style>
  <w:style w:type="paragraph" w:customStyle="1" w:styleId="Title10">
    <w:name w:val="Title1"/>
    <w:basedOn w:val="Normal"/>
    <w:rsid w:val="00A52788"/>
    <w:pPr>
      <w:bidi w:val="0"/>
      <w:spacing w:before="100" w:beforeAutospacing="1" w:after="100" w:afterAutospacing="1"/>
    </w:pPr>
    <w:rPr>
      <w:rFonts w:ascii="Times New Roman" w:eastAsia="Times New Roman" w:hAnsi="Times New Roman" w:cs="Times New Roman"/>
      <w:sz w:val="24"/>
      <w:szCs w:val="24"/>
    </w:rPr>
  </w:style>
  <w:style w:type="character" w:customStyle="1" w:styleId="smalltitles">
    <w:name w:val="smalltitles"/>
    <w:basedOn w:val="DefaultParagraphFont"/>
    <w:rsid w:val="00A52788"/>
  </w:style>
  <w:style w:type="character" w:customStyle="1" w:styleId="textwithoutbg1">
    <w:name w:val="text_without_bg1"/>
    <w:basedOn w:val="DefaultParagraphFont"/>
    <w:rsid w:val="00A52788"/>
    <w:rPr>
      <w:rFonts w:ascii="Tahoma" w:hAnsi="Tahoma" w:cs="Tahoma" w:hint="default"/>
      <w:color w:val="000000"/>
      <w:sz w:val="17"/>
      <w:szCs w:val="17"/>
    </w:rPr>
  </w:style>
  <w:style w:type="character" w:customStyle="1" w:styleId="BodyTextIndent2Char">
    <w:name w:val="Body Text Indent 2 Char"/>
    <w:basedOn w:val="DefaultParagraphFont"/>
    <w:link w:val="BodyTextIndent2"/>
    <w:uiPriority w:val="99"/>
    <w:semiHidden/>
    <w:rsid w:val="00A52788"/>
  </w:style>
  <w:style w:type="paragraph" w:styleId="BodyTextIndent2">
    <w:name w:val="Body Text Indent 2"/>
    <w:basedOn w:val="Normal"/>
    <w:link w:val="BodyTextIndent2Char"/>
    <w:uiPriority w:val="99"/>
    <w:semiHidden/>
    <w:unhideWhenUsed/>
    <w:rsid w:val="00A52788"/>
    <w:pPr>
      <w:spacing w:after="120" w:line="480" w:lineRule="auto"/>
      <w:ind w:left="360"/>
    </w:pPr>
    <w:rPr>
      <w:lang w:bidi="ar-SA"/>
    </w:rPr>
  </w:style>
  <w:style w:type="character" w:customStyle="1" w:styleId="BodyTextIndent2Char1">
    <w:name w:val="Body Text Indent 2 Char1"/>
    <w:basedOn w:val="DefaultParagraphFont"/>
    <w:uiPriority w:val="99"/>
    <w:semiHidden/>
    <w:rsid w:val="00A52788"/>
    <w:rPr>
      <w:lang w:bidi="he-IL"/>
    </w:rPr>
  </w:style>
  <w:style w:type="paragraph" w:customStyle="1" w:styleId="indented">
    <w:name w:val="indented"/>
    <w:basedOn w:val="Normal"/>
    <w:rsid w:val="00A52788"/>
    <w:pPr>
      <w:bidi w:val="0"/>
      <w:spacing w:before="100" w:beforeAutospacing="1" w:after="100" w:afterAutospacing="1"/>
    </w:pPr>
    <w:rPr>
      <w:rFonts w:ascii="Times New Roman" w:eastAsia="Times New Roman" w:hAnsi="Times New Roman" w:cs="Times New Roman"/>
      <w:sz w:val="24"/>
      <w:szCs w:val="24"/>
    </w:rPr>
  </w:style>
  <w:style w:type="character" w:customStyle="1" w:styleId="FootnoteTextChar1">
    <w:name w:val="Footnote Text Char1"/>
    <w:basedOn w:val="DefaultParagraphFont"/>
    <w:uiPriority w:val="99"/>
    <w:rsid w:val="00A52788"/>
  </w:style>
  <w:style w:type="paragraph" w:customStyle="1" w:styleId="Revisin">
    <w:name w:val="Revisión"/>
    <w:hidden/>
    <w:uiPriority w:val="71"/>
    <w:rsid w:val="00A52788"/>
    <w:pPr>
      <w:spacing w:after="0" w:line="240" w:lineRule="auto"/>
    </w:pPr>
    <w:rPr>
      <w:rFonts w:ascii="Cambria" w:eastAsia="MS Mincho" w:hAnsi="Cambria" w:cs="Times New Roman"/>
      <w:sz w:val="24"/>
      <w:szCs w:val="24"/>
      <w:lang w:val="it-IT" w:eastAsia="es-ES"/>
    </w:rPr>
  </w:style>
  <w:style w:type="paragraph" w:customStyle="1" w:styleId="Style1">
    <w:name w:val="Style1"/>
    <w:basedOn w:val="FootnoteText"/>
    <w:autoRedefine/>
    <w:qFormat/>
    <w:rsid w:val="00A52788"/>
    <w:pPr>
      <w:jc w:val="both"/>
    </w:pPr>
    <w:rPr>
      <w:rFonts w:cs="Times New Roman"/>
      <w:szCs w:val="24"/>
      <w:lang w:bidi="ar-SA"/>
    </w:rPr>
  </w:style>
  <w:style w:type="character" w:customStyle="1" w:styleId="st">
    <w:name w:val="st"/>
    <w:rsid w:val="00A52788"/>
    <w:rPr>
      <w:rFonts w:cs="Times New Roman"/>
    </w:rPr>
  </w:style>
  <w:style w:type="character" w:customStyle="1" w:styleId="longtext">
    <w:name w:val="long_text"/>
    <w:rsid w:val="00A52788"/>
    <w:rPr>
      <w:rFonts w:cs="Times New Roman"/>
    </w:rPr>
  </w:style>
  <w:style w:type="paragraph" w:styleId="TOCHeading">
    <w:name w:val="TOC Heading"/>
    <w:basedOn w:val="Heading1"/>
    <w:next w:val="Normal"/>
    <w:uiPriority w:val="39"/>
    <w:semiHidden/>
    <w:unhideWhenUsed/>
    <w:qFormat/>
    <w:rsid w:val="00A52788"/>
    <w:pPr>
      <w:outlineLvl w:val="9"/>
    </w:pPr>
  </w:style>
  <w:style w:type="character" w:customStyle="1" w:styleId="huge1">
    <w:name w:val="huge1"/>
    <w:basedOn w:val="DefaultParagraphFont"/>
    <w:rsid w:val="00A52788"/>
    <w:rPr>
      <w:rFonts w:ascii="Verdana" w:hAnsi="Verdana" w:hint="default"/>
      <w:sz w:val="30"/>
      <w:szCs w:val="30"/>
    </w:rPr>
  </w:style>
  <w:style w:type="paragraph" w:customStyle="1" w:styleId="Heading11">
    <w:name w:val="Heading 11"/>
    <w:basedOn w:val="Normal"/>
    <w:next w:val="Normal"/>
    <w:uiPriority w:val="9"/>
    <w:qFormat/>
    <w:rsid w:val="00A52788"/>
    <w:pPr>
      <w:keepNext/>
      <w:keepLines/>
      <w:spacing w:before="480"/>
      <w:outlineLvl w:val="0"/>
    </w:pPr>
    <w:rPr>
      <w:rFonts w:ascii="Cambria" w:eastAsia="Times New Roman" w:hAnsi="Cambria" w:cs="Times New Roman"/>
      <w:b/>
      <w:bCs/>
      <w:color w:val="365F91"/>
      <w:sz w:val="28"/>
      <w:szCs w:val="28"/>
      <w:lang w:bidi="ar-SA"/>
    </w:rPr>
  </w:style>
  <w:style w:type="paragraph" w:customStyle="1" w:styleId="Heading31">
    <w:name w:val="Heading 31"/>
    <w:basedOn w:val="Normal"/>
    <w:next w:val="Normal"/>
    <w:uiPriority w:val="9"/>
    <w:unhideWhenUsed/>
    <w:qFormat/>
    <w:rsid w:val="00A52788"/>
    <w:pPr>
      <w:keepNext/>
      <w:keepLines/>
      <w:bidi w:val="0"/>
      <w:spacing w:before="200"/>
      <w:outlineLvl w:val="2"/>
    </w:pPr>
    <w:rPr>
      <w:rFonts w:ascii="Cambria" w:eastAsia="Times New Roman" w:hAnsi="Cambria" w:cs="Times New Roman"/>
      <w:b/>
      <w:bCs/>
      <w:color w:val="4F81BD"/>
      <w:sz w:val="24"/>
      <w:szCs w:val="24"/>
      <w:lang w:val="en-GB" w:eastAsia="en-GB" w:bidi="ar-SA"/>
    </w:rPr>
  </w:style>
  <w:style w:type="paragraph" w:customStyle="1" w:styleId="Heading41">
    <w:name w:val="Heading 41"/>
    <w:basedOn w:val="Normal"/>
    <w:next w:val="Normal"/>
    <w:uiPriority w:val="9"/>
    <w:unhideWhenUsed/>
    <w:qFormat/>
    <w:rsid w:val="00A52788"/>
    <w:pPr>
      <w:keepNext/>
      <w:keepLines/>
      <w:bidi w:val="0"/>
      <w:spacing w:before="200"/>
      <w:outlineLvl w:val="3"/>
    </w:pPr>
    <w:rPr>
      <w:rFonts w:ascii="Cambria" w:eastAsia="Times New Roman" w:hAnsi="Cambria" w:cs="Times New Roman"/>
      <w:b/>
      <w:bCs/>
      <w:i/>
      <w:iCs/>
      <w:color w:val="4F81BD"/>
      <w:sz w:val="24"/>
      <w:szCs w:val="24"/>
      <w:lang w:val="en-GB" w:eastAsia="en-GB" w:bidi="ar-SA"/>
    </w:rPr>
  </w:style>
  <w:style w:type="paragraph" w:customStyle="1" w:styleId="Heading61">
    <w:name w:val="Heading 61"/>
    <w:basedOn w:val="Normal"/>
    <w:next w:val="Normal"/>
    <w:uiPriority w:val="9"/>
    <w:unhideWhenUsed/>
    <w:qFormat/>
    <w:rsid w:val="00A52788"/>
    <w:pPr>
      <w:keepNext/>
      <w:keepLines/>
      <w:bidi w:val="0"/>
      <w:spacing w:before="200"/>
      <w:outlineLvl w:val="5"/>
    </w:pPr>
    <w:rPr>
      <w:rFonts w:ascii="Cambria" w:eastAsia="Times New Roman" w:hAnsi="Cambria" w:cs="Times New Roman"/>
      <w:i/>
      <w:iCs/>
      <w:color w:val="243F60"/>
      <w:sz w:val="24"/>
      <w:szCs w:val="24"/>
      <w:lang w:bidi="ar-SA"/>
    </w:rPr>
  </w:style>
  <w:style w:type="numbering" w:customStyle="1" w:styleId="NoList1">
    <w:name w:val="No List1"/>
    <w:next w:val="NoList"/>
    <w:uiPriority w:val="99"/>
    <w:semiHidden/>
    <w:unhideWhenUsed/>
    <w:rsid w:val="00A52788"/>
  </w:style>
  <w:style w:type="character" w:customStyle="1" w:styleId="Heading1Char1">
    <w:name w:val="Heading 1 Char1"/>
    <w:basedOn w:val="DefaultParagraphFont"/>
    <w:uiPriority w:val="9"/>
    <w:rsid w:val="00A52788"/>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A52788"/>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A52788"/>
    <w:rPr>
      <w:rFonts w:asciiTheme="majorHAnsi" w:eastAsiaTheme="majorEastAsia" w:hAnsiTheme="majorHAnsi" w:cstheme="majorBidi"/>
      <w:b/>
      <w:bCs/>
      <w:i/>
      <w:iCs/>
      <w:color w:val="4F81BD" w:themeColor="accent1"/>
    </w:rPr>
  </w:style>
  <w:style w:type="character" w:customStyle="1" w:styleId="Heading6Char1">
    <w:name w:val="Heading 6 Char1"/>
    <w:basedOn w:val="DefaultParagraphFont"/>
    <w:uiPriority w:val="9"/>
    <w:semiHidden/>
    <w:rsid w:val="00A52788"/>
    <w:rPr>
      <w:rFonts w:asciiTheme="majorHAnsi" w:eastAsiaTheme="majorEastAsia" w:hAnsiTheme="majorHAnsi" w:cstheme="majorBidi"/>
      <w:i/>
      <w:iCs/>
      <w:color w:val="243F60" w:themeColor="accent1" w:themeShade="7F"/>
    </w:rPr>
  </w:style>
  <w:style w:type="paragraph" w:customStyle="1" w:styleId="Body1">
    <w:name w:val="Body 1"/>
    <w:rsid w:val="00A52788"/>
    <w:pPr>
      <w:spacing w:after="0" w:line="240" w:lineRule="auto"/>
      <w:ind w:firstLine="720"/>
      <w:jc w:val="both"/>
      <w:outlineLvl w:val="0"/>
    </w:pPr>
    <w:rPr>
      <w:rFonts w:ascii="Times New Roman" w:eastAsia="Arial Unicode MS" w:hAnsi="Times New Roman" w:cs="Times New Roman"/>
      <w:color w:val="000000"/>
      <w:sz w:val="24"/>
      <w:szCs w:val="20"/>
      <w:u w:color="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2788"/>
    <w:pPr>
      <w:bidi/>
      <w:spacing w:after="0" w:line="240" w:lineRule="auto"/>
    </w:pPr>
    <w:rPr>
      <w:lang w:bidi="he-IL"/>
    </w:rPr>
  </w:style>
  <w:style w:type="paragraph" w:styleId="Heading1">
    <w:name w:val="heading 1"/>
    <w:basedOn w:val="Normal"/>
    <w:next w:val="Normal"/>
    <w:link w:val="Heading1Char"/>
    <w:uiPriority w:val="9"/>
    <w:qFormat/>
    <w:rsid w:val="00A52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A52788"/>
    <w:pPr>
      <w:bidi w:val="0"/>
      <w:spacing w:before="100" w:beforeAutospacing="1" w:after="100" w:afterAutospacing="1"/>
      <w:outlineLvl w:val="1"/>
    </w:pPr>
    <w:rPr>
      <w:rFonts w:ascii="Times New Roman" w:eastAsia="Times New Roman" w:hAnsi="Times New Roman" w:cs="Times New Roman"/>
      <w:b/>
      <w:bCs/>
      <w:sz w:val="36"/>
      <w:szCs w:val="36"/>
      <w:lang w:val="en-GB" w:eastAsia="en-GB" w:bidi="ar-SA"/>
    </w:rPr>
  </w:style>
  <w:style w:type="paragraph" w:styleId="Heading3">
    <w:name w:val="heading 3"/>
    <w:basedOn w:val="Normal"/>
    <w:next w:val="Normal"/>
    <w:link w:val="Heading3Char"/>
    <w:uiPriority w:val="9"/>
    <w:unhideWhenUsed/>
    <w:qFormat/>
    <w:rsid w:val="00A52788"/>
    <w:pPr>
      <w:keepNext/>
      <w:keepLines/>
      <w:bidi w:val="0"/>
      <w:spacing w:before="200"/>
      <w:outlineLvl w:val="2"/>
    </w:pPr>
    <w:rPr>
      <w:rFonts w:asciiTheme="majorHAnsi" w:eastAsiaTheme="majorEastAsia" w:hAnsiTheme="majorHAnsi" w:cstheme="majorBidi"/>
      <w:b/>
      <w:bCs/>
      <w:color w:val="4F81BD" w:themeColor="accent1"/>
      <w:sz w:val="24"/>
      <w:szCs w:val="24"/>
      <w:lang w:val="en-GB" w:eastAsia="en-GB" w:bidi="ar-SA"/>
    </w:rPr>
  </w:style>
  <w:style w:type="paragraph" w:styleId="Heading4">
    <w:name w:val="heading 4"/>
    <w:basedOn w:val="Normal"/>
    <w:next w:val="Normal"/>
    <w:link w:val="Heading4Char"/>
    <w:uiPriority w:val="9"/>
    <w:unhideWhenUsed/>
    <w:qFormat/>
    <w:rsid w:val="00A52788"/>
    <w:pPr>
      <w:keepNext/>
      <w:keepLines/>
      <w:bidi w:val="0"/>
      <w:spacing w:before="200"/>
      <w:outlineLvl w:val="3"/>
    </w:pPr>
    <w:rPr>
      <w:rFonts w:asciiTheme="majorHAnsi" w:eastAsiaTheme="majorEastAsia" w:hAnsiTheme="majorHAnsi" w:cstheme="majorBidi"/>
      <w:b/>
      <w:bCs/>
      <w:i/>
      <w:iCs/>
      <w:color w:val="4F81BD" w:themeColor="accent1"/>
      <w:sz w:val="24"/>
      <w:szCs w:val="24"/>
      <w:lang w:val="en-GB" w:eastAsia="en-GB" w:bidi="ar-SA"/>
    </w:rPr>
  </w:style>
  <w:style w:type="paragraph" w:styleId="Heading5">
    <w:name w:val="heading 5"/>
    <w:basedOn w:val="Normal"/>
    <w:link w:val="Heading5Char"/>
    <w:uiPriority w:val="9"/>
    <w:qFormat/>
    <w:rsid w:val="00A52788"/>
    <w:pPr>
      <w:bidi w:val="0"/>
      <w:spacing w:before="100" w:beforeAutospacing="1" w:after="100" w:afterAutospacing="1"/>
      <w:jc w:val="both"/>
      <w:outlineLvl w:val="4"/>
    </w:pPr>
    <w:rPr>
      <w:rFonts w:ascii="Times New Roman" w:eastAsia="Times New Roman" w:hAnsi="Times New Roman" w:cs="Times New Roman"/>
      <w:b/>
      <w:bCs/>
      <w:color w:val="555555"/>
      <w:sz w:val="20"/>
      <w:szCs w:val="20"/>
      <w:lang w:bidi="ar-SA"/>
    </w:rPr>
  </w:style>
  <w:style w:type="paragraph" w:styleId="Heading6">
    <w:name w:val="heading 6"/>
    <w:basedOn w:val="Normal"/>
    <w:next w:val="Normal"/>
    <w:link w:val="Heading6Char"/>
    <w:uiPriority w:val="9"/>
    <w:unhideWhenUsed/>
    <w:qFormat/>
    <w:rsid w:val="00A52788"/>
    <w:pPr>
      <w:keepNext/>
      <w:keepLines/>
      <w:bidi w:val="0"/>
      <w:spacing w:before="200"/>
      <w:outlineLvl w:val="5"/>
    </w:pPr>
    <w:rPr>
      <w:rFonts w:asciiTheme="majorHAnsi" w:eastAsiaTheme="majorEastAsia" w:hAnsiTheme="majorHAnsi" w:cstheme="majorBidi"/>
      <w:i/>
      <w:iCs/>
      <w:color w:val="243F60" w:themeColor="accent1" w:themeShade="7F"/>
      <w:sz w:val="24"/>
      <w:szCs w:val="24"/>
      <w:lang w:bidi="ar-SA"/>
    </w:rPr>
  </w:style>
  <w:style w:type="paragraph" w:styleId="Heading8">
    <w:name w:val="heading 8"/>
    <w:basedOn w:val="Normal"/>
    <w:next w:val="Normal"/>
    <w:link w:val="Heading8Char"/>
    <w:qFormat/>
    <w:rsid w:val="00A52788"/>
    <w:pPr>
      <w:keepNext/>
      <w:tabs>
        <w:tab w:val="left" w:pos="720"/>
      </w:tabs>
      <w:bidi w:val="0"/>
      <w:jc w:val="both"/>
      <w:outlineLvl w:val="7"/>
    </w:pPr>
    <w:rPr>
      <w:rFonts w:ascii="Times New Roman" w:eastAsia="Calibri" w:hAnsi="Times New Roman" w:cs="Times New Roman"/>
      <w:b/>
      <w:sz w:val="20"/>
      <w:szCs w:val="20"/>
      <w:lang w:val="en-GB"/>
    </w:rPr>
  </w:style>
  <w:style w:type="paragraph" w:styleId="Heading9">
    <w:name w:val="heading 9"/>
    <w:basedOn w:val="Normal"/>
    <w:next w:val="Normal"/>
    <w:link w:val="Heading9Char"/>
    <w:uiPriority w:val="9"/>
    <w:qFormat/>
    <w:rsid w:val="00A52788"/>
    <w:pPr>
      <w:bidi w:val="0"/>
      <w:spacing w:before="240" w:after="60"/>
      <w:outlineLvl w:val="8"/>
    </w:pPr>
    <w:rPr>
      <w:rFonts w:ascii="Cambria" w:eastAsia="Times New Roman" w:hAnsi="Cambria" w:cs="Times New Roman"/>
      <w:bCs/>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788"/>
    <w:rPr>
      <w:rFonts w:asciiTheme="majorHAnsi" w:eastAsiaTheme="majorEastAsia" w:hAnsiTheme="majorHAnsi" w:cstheme="majorBidi"/>
      <w:b/>
      <w:bCs/>
      <w:color w:val="365F91" w:themeColor="accent1" w:themeShade="BF"/>
      <w:sz w:val="28"/>
      <w:szCs w:val="28"/>
      <w:lang w:bidi="he-IL"/>
    </w:rPr>
  </w:style>
  <w:style w:type="character" w:customStyle="1" w:styleId="Heading2Char">
    <w:name w:val="Heading 2 Char"/>
    <w:basedOn w:val="DefaultParagraphFont"/>
    <w:link w:val="Heading2"/>
    <w:uiPriority w:val="99"/>
    <w:rsid w:val="00A52788"/>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A52788"/>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uiPriority w:val="9"/>
    <w:rsid w:val="00A52788"/>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uiPriority w:val="9"/>
    <w:rsid w:val="00A52788"/>
    <w:rPr>
      <w:rFonts w:ascii="Times New Roman" w:eastAsia="Times New Roman" w:hAnsi="Times New Roman" w:cs="Times New Roman"/>
      <w:b/>
      <w:bCs/>
      <w:color w:val="555555"/>
      <w:sz w:val="20"/>
      <w:szCs w:val="20"/>
    </w:rPr>
  </w:style>
  <w:style w:type="character" w:customStyle="1" w:styleId="Heading6Char">
    <w:name w:val="Heading 6 Char"/>
    <w:basedOn w:val="DefaultParagraphFont"/>
    <w:link w:val="Heading6"/>
    <w:uiPriority w:val="9"/>
    <w:rsid w:val="00A52788"/>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rsid w:val="00A52788"/>
    <w:rPr>
      <w:rFonts w:ascii="Times New Roman" w:eastAsia="Calibri" w:hAnsi="Times New Roman" w:cs="Times New Roman"/>
      <w:b/>
      <w:sz w:val="20"/>
      <w:szCs w:val="20"/>
      <w:lang w:val="en-GB" w:bidi="he-IL"/>
    </w:rPr>
  </w:style>
  <w:style w:type="character" w:customStyle="1" w:styleId="Heading9Char">
    <w:name w:val="Heading 9 Char"/>
    <w:basedOn w:val="DefaultParagraphFont"/>
    <w:link w:val="Heading9"/>
    <w:uiPriority w:val="9"/>
    <w:rsid w:val="00A52788"/>
    <w:rPr>
      <w:rFonts w:ascii="Cambria" w:eastAsia="Times New Roman" w:hAnsi="Cambria" w:cs="Times New Roman"/>
      <w:bCs/>
      <w:lang w:val="en-GB"/>
    </w:rPr>
  </w:style>
  <w:style w:type="paragraph" w:styleId="BalloonText">
    <w:name w:val="Balloon Text"/>
    <w:basedOn w:val="Normal"/>
    <w:link w:val="BalloonTextChar"/>
    <w:uiPriority w:val="99"/>
    <w:unhideWhenUsed/>
    <w:rsid w:val="00A52788"/>
    <w:rPr>
      <w:rFonts w:ascii="Tahoma" w:hAnsi="Tahoma" w:cs="Tahoma"/>
      <w:sz w:val="16"/>
      <w:szCs w:val="16"/>
    </w:rPr>
  </w:style>
  <w:style w:type="character" w:customStyle="1" w:styleId="BalloonTextChar">
    <w:name w:val="Balloon Text Char"/>
    <w:basedOn w:val="DefaultParagraphFont"/>
    <w:link w:val="BalloonText"/>
    <w:uiPriority w:val="99"/>
    <w:rsid w:val="00A52788"/>
    <w:rPr>
      <w:rFonts w:ascii="Tahoma" w:hAnsi="Tahoma" w:cs="Tahoma"/>
      <w:sz w:val="16"/>
      <w:szCs w:val="16"/>
      <w:lang w:bidi="he-IL"/>
    </w:rPr>
  </w:style>
  <w:style w:type="character" w:customStyle="1" w:styleId="hps">
    <w:name w:val="hps"/>
    <w:basedOn w:val="DefaultParagraphFont"/>
    <w:rsid w:val="00A52788"/>
  </w:style>
  <w:style w:type="character" w:styleId="Hyperlink">
    <w:name w:val="Hyperlink"/>
    <w:basedOn w:val="DefaultParagraphFont"/>
    <w:uiPriority w:val="99"/>
    <w:rsid w:val="00A52788"/>
    <w:rPr>
      <w:color w:val="0000FF"/>
      <w:u w:val="single"/>
    </w:rPr>
  </w:style>
  <w:style w:type="paragraph" w:styleId="FootnoteText">
    <w:name w:val="footnote text"/>
    <w:aliases w:val="Footnote,Text,fn,*Footnote Text,Footnotes,Footnote ak,DHFußn,Fußnotentext Char,Fußnotentext Char1 Char,Fußnotentext Char3 Char2 Char Char,Fußnotentext Char1 Char4 Char2 Char Char,Fußnotentext Char3 Char Char Char2 Char Char,Fußnotentext C"/>
    <w:basedOn w:val="Normal"/>
    <w:link w:val="FootnoteTextChar"/>
    <w:unhideWhenUsed/>
    <w:rsid w:val="00A52788"/>
    <w:pPr>
      <w:bidi w:val="0"/>
    </w:pPr>
    <w:rPr>
      <w:rFonts w:ascii="Times New Roman" w:eastAsia="Times New Roman" w:hAnsi="Times New Roman" w:cs="Angsana New"/>
      <w:sz w:val="20"/>
      <w:szCs w:val="25"/>
      <w:lang w:bidi="th-TH"/>
    </w:rPr>
  </w:style>
  <w:style w:type="character" w:customStyle="1" w:styleId="FootnoteTextChar">
    <w:name w:val="Footnote Text Char"/>
    <w:aliases w:val="Footnote Char1,Text Char1,fn Char1,*Footnote Text Char1,Footnotes Char1,Footnote ak Char1,DHFußn Char1,Fußnotentext Char Char1,Fußnotentext Char1 Char Char1,Fußnotentext Char3 Char2 Char Char Char1,Fußnotentext C Char"/>
    <w:basedOn w:val="DefaultParagraphFont"/>
    <w:link w:val="FootnoteText"/>
    <w:rsid w:val="00A52788"/>
    <w:rPr>
      <w:rFonts w:ascii="Times New Roman" w:eastAsia="Times New Roman" w:hAnsi="Times New Roman" w:cs="Angsana New"/>
      <w:sz w:val="20"/>
      <w:szCs w:val="25"/>
      <w:lang w:bidi="th-TH"/>
    </w:rPr>
  </w:style>
  <w:style w:type="paragraph" w:styleId="NormalWeb">
    <w:name w:val="Normal (Web)"/>
    <w:basedOn w:val="Normal"/>
    <w:uiPriority w:val="99"/>
    <w:rsid w:val="00A52788"/>
    <w:pPr>
      <w:bidi w:val="0"/>
      <w:spacing w:before="100" w:beforeAutospacing="1" w:after="100" w:afterAutospacing="1"/>
    </w:pPr>
    <w:rPr>
      <w:rFonts w:ascii="Tahoma" w:eastAsia="Times New Roman" w:hAnsi="Tahoma" w:cs="Tahoma"/>
      <w:color w:val="000000"/>
      <w:sz w:val="24"/>
      <w:szCs w:val="24"/>
      <w:lang w:bidi="th-TH"/>
    </w:rPr>
  </w:style>
  <w:style w:type="paragraph" w:styleId="BodyText">
    <w:name w:val="Body Text"/>
    <w:aliases w:val="block style"/>
    <w:basedOn w:val="Normal"/>
    <w:link w:val="BodyTextChar"/>
    <w:rsid w:val="00A52788"/>
    <w:rPr>
      <w:rFonts w:ascii="Times New Roman" w:eastAsia="Times New Roman" w:hAnsi="Times New Roman" w:cs="Simplified Arabic"/>
      <w:sz w:val="20"/>
      <w:szCs w:val="28"/>
      <w:lang w:eastAsia="ar-SA" w:bidi="ar-SA"/>
    </w:rPr>
  </w:style>
  <w:style w:type="character" w:customStyle="1" w:styleId="BodyTextChar">
    <w:name w:val="Body Text Char"/>
    <w:aliases w:val="block style Char"/>
    <w:basedOn w:val="DefaultParagraphFont"/>
    <w:link w:val="BodyText"/>
    <w:rsid w:val="00A52788"/>
    <w:rPr>
      <w:rFonts w:ascii="Times New Roman" w:eastAsia="Times New Roman" w:hAnsi="Times New Roman" w:cs="Simplified Arabic"/>
      <w:sz w:val="20"/>
      <w:szCs w:val="28"/>
      <w:lang w:eastAsia="ar-SA"/>
    </w:rPr>
  </w:style>
  <w:style w:type="character" w:customStyle="1" w:styleId="st1">
    <w:name w:val="st1"/>
    <w:basedOn w:val="DefaultParagraphFont"/>
    <w:rsid w:val="00A52788"/>
  </w:style>
  <w:style w:type="paragraph" w:styleId="HTMLPreformatted">
    <w:name w:val="HTML Preformatted"/>
    <w:basedOn w:val="Normal"/>
    <w:link w:val="HTMLPreformattedChar"/>
    <w:uiPriority w:val="99"/>
    <w:unhideWhenUsed/>
    <w:rsid w:val="00A5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Times New Roman"/>
      <w:sz w:val="20"/>
      <w:szCs w:val="20"/>
      <w:lang w:bidi="ar-SA"/>
    </w:rPr>
  </w:style>
  <w:style w:type="character" w:customStyle="1" w:styleId="HTMLPreformattedChar">
    <w:name w:val="HTML Preformatted Char"/>
    <w:basedOn w:val="DefaultParagraphFont"/>
    <w:link w:val="HTMLPreformatted"/>
    <w:uiPriority w:val="99"/>
    <w:rsid w:val="00A52788"/>
    <w:rPr>
      <w:rFonts w:ascii="Courier New" w:eastAsia="Times New Roman" w:hAnsi="Courier New" w:cs="Times New Roman"/>
      <w:sz w:val="20"/>
      <w:szCs w:val="20"/>
    </w:rPr>
  </w:style>
  <w:style w:type="paragraph" w:customStyle="1" w:styleId="Corps">
    <w:name w:val="Corps"/>
    <w:rsid w:val="00A52788"/>
    <w:pPr>
      <w:spacing w:after="0" w:line="240" w:lineRule="auto"/>
    </w:pPr>
    <w:rPr>
      <w:rFonts w:ascii="Helvetica" w:eastAsia="ヒラギノ角ゴ Pro W3" w:hAnsi="Helvetica" w:cs="Times New Roman"/>
      <w:color w:val="000000"/>
      <w:sz w:val="24"/>
      <w:szCs w:val="20"/>
      <w:lang w:val="fr-FR"/>
    </w:rPr>
  </w:style>
  <w:style w:type="paragraph" w:styleId="ListParagraph">
    <w:name w:val="List Paragraph"/>
    <w:basedOn w:val="Normal"/>
    <w:uiPriority w:val="34"/>
    <w:qFormat/>
    <w:rsid w:val="00A52788"/>
    <w:pPr>
      <w:bidi w:val="0"/>
      <w:spacing w:after="200"/>
      <w:ind w:left="720"/>
      <w:contextualSpacing/>
      <w:jc w:val="center"/>
    </w:pPr>
    <w:rPr>
      <w:rFonts w:ascii="Calibri" w:eastAsia="Calibri" w:hAnsi="Calibri" w:cs="Arial"/>
      <w:sz w:val="24"/>
      <w:lang w:bidi="ar-SA"/>
    </w:rPr>
  </w:style>
  <w:style w:type="character" w:styleId="FootnoteReference">
    <w:name w:val="footnote reference"/>
    <w:basedOn w:val="DefaultParagraphFont"/>
    <w:unhideWhenUsed/>
    <w:rsid w:val="00A52788"/>
    <w:rPr>
      <w:vertAlign w:val="superscript"/>
    </w:rPr>
  </w:style>
  <w:style w:type="character" w:customStyle="1" w:styleId="apple-style-span">
    <w:name w:val="apple-style-span"/>
    <w:basedOn w:val="DefaultParagraphFont"/>
    <w:uiPriority w:val="99"/>
    <w:rsid w:val="00A52788"/>
  </w:style>
  <w:style w:type="character" w:styleId="Emphasis">
    <w:name w:val="Emphasis"/>
    <w:basedOn w:val="DefaultParagraphFont"/>
    <w:uiPriority w:val="20"/>
    <w:qFormat/>
    <w:rsid w:val="00A52788"/>
    <w:rPr>
      <w:i/>
      <w:iCs/>
    </w:rPr>
  </w:style>
  <w:style w:type="character" w:styleId="Strong">
    <w:name w:val="Strong"/>
    <w:basedOn w:val="DefaultParagraphFont"/>
    <w:uiPriority w:val="22"/>
    <w:qFormat/>
    <w:rsid w:val="00A52788"/>
    <w:rPr>
      <w:b/>
      <w:bCs/>
    </w:rPr>
  </w:style>
  <w:style w:type="paragraph" w:styleId="Header">
    <w:name w:val="header"/>
    <w:basedOn w:val="Normal"/>
    <w:link w:val="HeaderChar"/>
    <w:uiPriority w:val="99"/>
    <w:unhideWhenUsed/>
    <w:rsid w:val="00A52788"/>
    <w:pPr>
      <w:tabs>
        <w:tab w:val="center" w:pos="4153"/>
        <w:tab w:val="right" w:pos="8306"/>
      </w:tabs>
    </w:pPr>
  </w:style>
  <w:style w:type="character" w:customStyle="1" w:styleId="HeaderChar">
    <w:name w:val="Header Char"/>
    <w:basedOn w:val="DefaultParagraphFont"/>
    <w:link w:val="Header"/>
    <w:uiPriority w:val="99"/>
    <w:rsid w:val="00A52788"/>
    <w:rPr>
      <w:lang w:bidi="he-IL"/>
    </w:rPr>
  </w:style>
  <w:style w:type="paragraph" w:styleId="Footer">
    <w:name w:val="footer"/>
    <w:basedOn w:val="Normal"/>
    <w:link w:val="FooterChar"/>
    <w:uiPriority w:val="99"/>
    <w:unhideWhenUsed/>
    <w:rsid w:val="00A52788"/>
    <w:pPr>
      <w:tabs>
        <w:tab w:val="center" w:pos="4153"/>
        <w:tab w:val="right" w:pos="8306"/>
      </w:tabs>
    </w:pPr>
  </w:style>
  <w:style w:type="character" w:customStyle="1" w:styleId="FooterChar">
    <w:name w:val="Footer Char"/>
    <w:basedOn w:val="DefaultParagraphFont"/>
    <w:link w:val="Footer"/>
    <w:uiPriority w:val="99"/>
    <w:rsid w:val="00A52788"/>
    <w:rPr>
      <w:lang w:bidi="he-IL"/>
    </w:rPr>
  </w:style>
  <w:style w:type="paragraph" w:styleId="BodyText3">
    <w:name w:val="Body Text 3"/>
    <w:basedOn w:val="Normal"/>
    <w:link w:val="BodyText3Char"/>
    <w:rsid w:val="00A52788"/>
    <w:pPr>
      <w:bidi w:val="0"/>
    </w:pPr>
    <w:rPr>
      <w:rFonts w:ascii="Times New Roman" w:eastAsia="Times New Roman" w:hAnsi="Times New Roman" w:cs="Tahoma"/>
      <w:sz w:val="28"/>
      <w:szCs w:val="20"/>
      <w:lang w:bidi="ar-SA"/>
    </w:rPr>
  </w:style>
  <w:style w:type="character" w:customStyle="1" w:styleId="BodyText3Char">
    <w:name w:val="Body Text 3 Char"/>
    <w:basedOn w:val="DefaultParagraphFont"/>
    <w:link w:val="BodyText3"/>
    <w:rsid w:val="00A52788"/>
    <w:rPr>
      <w:rFonts w:ascii="Times New Roman" w:eastAsia="Times New Roman" w:hAnsi="Times New Roman" w:cs="Tahoma"/>
      <w:sz w:val="28"/>
      <w:szCs w:val="20"/>
    </w:rPr>
  </w:style>
  <w:style w:type="paragraph" w:customStyle="1" w:styleId="id5">
    <w:name w:val="id5"/>
    <w:basedOn w:val="Normal"/>
    <w:rsid w:val="00A52788"/>
    <w:pPr>
      <w:bidi w:val="0"/>
      <w:spacing w:after="150"/>
    </w:pPr>
    <w:rPr>
      <w:rFonts w:ascii="Times New Roman" w:eastAsia="Times New Roman" w:hAnsi="Times New Roman" w:cs="Times New Roman"/>
      <w:sz w:val="24"/>
      <w:szCs w:val="24"/>
    </w:rPr>
  </w:style>
  <w:style w:type="character" w:customStyle="1" w:styleId="ZchnZchn7">
    <w:name w:val="Zchn Zchn7"/>
    <w:basedOn w:val="DefaultParagraphFont"/>
    <w:uiPriority w:val="99"/>
    <w:rsid w:val="00A52788"/>
    <w:rPr>
      <w:rFonts w:ascii="Cambria" w:eastAsia="Times New Roman" w:hAnsi="Cambria" w:cs="Times New Roman"/>
      <w:b/>
      <w:bCs/>
      <w:i/>
      <w:iCs/>
      <w:sz w:val="28"/>
      <w:szCs w:val="28"/>
      <w:lang w:val="en-US" w:eastAsia="en-US"/>
    </w:rPr>
  </w:style>
  <w:style w:type="character" w:customStyle="1" w:styleId="ZchnZchn6">
    <w:name w:val="Zchn Zchn6"/>
    <w:basedOn w:val="DefaultParagraphFont"/>
    <w:uiPriority w:val="99"/>
    <w:rsid w:val="00A52788"/>
    <w:rPr>
      <w:rFonts w:ascii="Calibri" w:eastAsia="Times New Roman" w:hAnsi="Calibri" w:cs="Times New Roman"/>
      <w:b/>
      <w:bCs/>
      <w:i/>
      <w:iCs/>
      <w:sz w:val="26"/>
      <w:szCs w:val="26"/>
      <w:lang w:val="en-US" w:eastAsia="en-US"/>
    </w:rPr>
  </w:style>
  <w:style w:type="character" w:customStyle="1" w:styleId="ZchnZchn5">
    <w:name w:val="Zchn Zchn5"/>
    <w:basedOn w:val="DefaultParagraphFont"/>
    <w:uiPriority w:val="99"/>
    <w:rsid w:val="00A52788"/>
    <w:rPr>
      <w:rFonts w:ascii="Tahoma" w:hAnsi="Tahoma" w:cs="Tahoma"/>
      <w:sz w:val="16"/>
      <w:szCs w:val="16"/>
      <w:lang w:val="en-US" w:eastAsia="en-US"/>
    </w:rPr>
  </w:style>
  <w:style w:type="character" w:customStyle="1" w:styleId="CharChar5">
    <w:name w:val="Char Char5"/>
    <w:basedOn w:val="DefaultParagraphFont"/>
    <w:uiPriority w:val="99"/>
    <w:rsid w:val="00A52788"/>
    <w:rPr>
      <w:rFonts w:ascii="Calibri" w:eastAsia="Times New Roman" w:hAnsi="Calibri" w:cs="Times New Roman"/>
      <w:b/>
      <w:bCs/>
      <w:i/>
      <w:iCs/>
      <w:sz w:val="26"/>
      <w:szCs w:val="26"/>
      <w:lang w:val="en-US" w:eastAsia="en-US"/>
    </w:rPr>
  </w:style>
  <w:style w:type="paragraph" w:customStyle="1" w:styleId="Default">
    <w:name w:val="Default"/>
    <w:rsid w:val="00A52788"/>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styleId="TOC1">
    <w:name w:val="toc 1"/>
    <w:basedOn w:val="Default"/>
    <w:next w:val="Default"/>
    <w:autoRedefine/>
    <w:uiPriority w:val="39"/>
    <w:rsid w:val="00A52788"/>
    <w:rPr>
      <w:color w:val="auto"/>
    </w:rPr>
  </w:style>
  <w:style w:type="character" w:customStyle="1" w:styleId="FootnoteChar">
    <w:name w:val="Footnote Char"/>
    <w:aliases w:val="Text Char,fn Char,*Footnote Text Char,Footnotes Char,Footnote ak Char,DHFußn Char,Fußnotentext Char Char,Fußnotentext Char1 Char Char,Fußnotentext Char3 Char2 Char Char Char,Fußnotentext Char1 Char4 Char2 Char Char Char"/>
    <w:basedOn w:val="DefaultParagraphFont"/>
    <w:uiPriority w:val="99"/>
    <w:rsid w:val="00A52788"/>
    <w:rPr>
      <w:sz w:val="20"/>
      <w:szCs w:val="20"/>
      <w:lang w:val="en-US" w:eastAsia="en-US"/>
    </w:rPr>
  </w:style>
  <w:style w:type="paragraph" w:customStyle="1" w:styleId="Default1">
    <w:name w:val="Default1"/>
    <w:basedOn w:val="Default"/>
    <w:next w:val="Default"/>
    <w:uiPriority w:val="99"/>
    <w:rsid w:val="00A52788"/>
    <w:rPr>
      <w:color w:val="auto"/>
    </w:rPr>
  </w:style>
  <w:style w:type="character" w:customStyle="1" w:styleId="text31">
    <w:name w:val="text31"/>
    <w:uiPriority w:val="99"/>
    <w:rsid w:val="00A52788"/>
    <w:rPr>
      <w:color w:val="000000"/>
      <w:sz w:val="20"/>
      <w:szCs w:val="20"/>
    </w:rPr>
  </w:style>
  <w:style w:type="character" w:customStyle="1" w:styleId="longdesc1">
    <w:name w:val="long_desc1"/>
    <w:uiPriority w:val="99"/>
    <w:rsid w:val="00A52788"/>
    <w:rPr>
      <w:color w:val="000000"/>
    </w:rPr>
  </w:style>
  <w:style w:type="character" w:customStyle="1" w:styleId="title1">
    <w:name w:val="title1"/>
    <w:rsid w:val="00A52788"/>
    <w:rPr>
      <w:color w:val="000000"/>
      <w:sz w:val="20"/>
      <w:szCs w:val="20"/>
    </w:rPr>
  </w:style>
  <w:style w:type="paragraph" w:customStyle="1" w:styleId="NormalWeb1">
    <w:name w:val="Normal (Web)1"/>
    <w:basedOn w:val="Normal"/>
    <w:uiPriority w:val="99"/>
    <w:rsid w:val="00A52788"/>
    <w:pPr>
      <w:bidi w:val="0"/>
      <w:spacing w:before="100" w:beforeAutospacing="1" w:after="100" w:afterAutospacing="1"/>
      <w:jc w:val="both"/>
    </w:pPr>
    <w:rPr>
      <w:rFonts w:ascii="Times New Roman" w:eastAsia="Times New Roman" w:hAnsi="Times New Roman" w:cs="Times New Roman"/>
      <w:sz w:val="24"/>
      <w:szCs w:val="24"/>
      <w:lang w:val="fr-FR" w:eastAsia="fr-FR" w:bidi="ar-SA"/>
    </w:rPr>
  </w:style>
  <w:style w:type="character" w:customStyle="1" w:styleId="CharChar4">
    <w:name w:val="Char Char4"/>
    <w:basedOn w:val="DefaultParagraphFont"/>
    <w:uiPriority w:val="99"/>
    <w:rsid w:val="00A52788"/>
    <w:rPr>
      <w:rFonts w:ascii="Tahoma" w:hAnsi="Tahoma" w:cs="Tahoma"/>
      <w:sz w:val="16"/>
      <w:szCs w:val="16"/>
      <w:lang w:val="en-US" w:eastAsia="en-US"/>
    </w:rPr>
  </w:style>
  <w:style w:type="character" w:styleId="CommentReference">
    <w:name w:val="annotation reference"/>
    <w:basedOn w:val="DefaultParagraphFont"/>
    <w:uiPriority w:val="99"/>
    <w:rsid w:val="00A52788"/>
    <w:rPr>
      <w:sz w:val="18"/>
      <w:szCs w:val="18"/>
    </w:rPr>
  </w:style>
  <w:style w:type="paragraph" w:styleId="CommentText">
    <w:name w:val="annotation text"/>
    <w:basedOn w:val="Normal"/>
    <w:link w:val="CommentTextChar"/>
    <w:uiPriority w:val="99"/>
    <w:rsid w:val="00A52788"/>
    <w:pPr>
      <w:bidi w:val="0"/>
      <w:jc w:val="both"/>
    </w:pPr>
    <w:rPr>
      <w:rFonts w:ascii="Times New Roman" w:eastAsia="Times New Roman" w:hAnsi="Times New Roman" w:cs="Times New Roman"/>
      <w:sz w:val="24"/>
      <w:szCs w:val="24"/>
      <w:lang w:bidi="ar-SA"/>
    </w:rPr>
  </w:style>
  <w:style w:type="character" w:customStyle="1" w:styleId="CommentTextChar">
    <w:name w:val="Comment Text Char"/>
    <w:basedOn w:val="DefaultParagraphFont"/>
    <w:link w:val="CommentText"/>
    <w:uiPriority w:val="99"/>
    <w:rsid w:val="00A52788"/>
    <w:rPr>
      <w:rFonts w:ascii="Times New Roman" w:eastAsia="Times New Roman" w:hAnsi="Times New Roman" w:cs="Times New Roman"/>
      <w:sz w:val="24"/>
      <w:szCs w:val="24"/>
    </w:rPr>
  </w:style>
  <w:style w:type="character" w:customStyle="1" w:styleId="ZchnZchn4">
    <w:name w:val="Zchn Zchn4"/>
    <w:basedOn w:val="DefaultParagraphFont"/>
    <w:uiPriority w:val="99"/>
    <w:rsid w:val="00A52788"/>
    <w:rPr>
      <w:sz w:val="20"/>
      <w:szCs w:val="20"/>
      <w:lang w:val="en-US" w:eastAsia="en-US"/>
    </w:rPr>
  </w:style>
  <w:style w:type="character" w:customStyle="1" w:styleId="CharChar3">
    <w:name w:val="Char Char3"/>
    <w:basedOn w:val="DefaultParagraphFont"/>
    <w:uiPriority w:val="99"/>
    <w:rsid w:val="00A52788"/>
    <w:rPr>
      <w:sz w:val="20"/>
      <w:szCs w:val="20"/>
      <w:lang w:val="en-US" w:eastAsia="en-US"/>
    </w:rPr>
  </w:style>
  <w:style w:type="paragraph" w:styleId="CommentSubject">
    <w:name w:val="annotation subject"/>
    <w:basedOn w:val="CommentText"/>
    <w:next w:val="CommentText"/>
    <w:link w:val="CommentSubjectChar"/>
    <w:uiPriority w:val="99"/>
    <w:rsid w:val="00A52788"/>
  </w:style>
  <w:style w:type="character" w:customStyle="1" w:styleId="CommentSubjectChar">
    <w:name w:val="Comment Subject Char"/>
    <w:basedOn w:val="CommentTextChar"/>
    <w:link w:val="CommentSubject"/>
    <w:uiPriority w:val="99"/>
    <w:rsid w:val="00A52788"/>
    <w:rPr>
      <w:rFonts w:ascii="Times New Roman" w:eastAsia="Times New Roman" w:hAnsi="Times New Roman" w:cs="Times New Roman"/>
      <w:sz w:val="24"/>
      <w:szCs w:val="24"/>
    </w:rPr>
  </w:style>
  <w:style w:type="character" w:customStyle="1" w:styleId="ZchnZchn3">
    <w:name w:val="Zchn Zchn3"/>
    <w:basedOn w:val="ZchnZchn4"/>
    <w:uiPriority w:val="99"/>
    <w:rsid w:val="00A52788"/>
    <w:rPr>
      <w:b/>
      <w:bCs/>
      <w:sz w:val="20"/>
      <w:szCs w:val="20"/>
      <w:lang w:val="en-US" w:eastAsia="en-US"/>
    </w:rPr>
  </w:style>
  <w:style w:type="character" w:customStyle="1" w:styleId="CharChar2">
    <w:name w:val="Char Char2"/>
    <w:basedOn w:val="CharChar3"/>
    <w:uiPriority w:val="99"/>
    <w:rsid w:val="00A52788"/>
    <w:rPr>
      <w:b/>
      <w:bCs/>
      <w:sz w:val="20"/>
      <w:szCs w:val="20"/>
      <w:lang w:val="en-US" w:eastAsia="en-US"/>
    </w:rPr>
  </w:style>
  <w:style w:type="character" w:customStyle="1" w:styleId="ZchnZchn2">
    <w:name w:val="Zchn Zchn2"/>
    <w:basedOn w:val="DefaultParagraphFont"/>
    <w:uiPriority w:val="99"/>
    <w:rsid w:val="00A52788"/>
    <w:rPr>
      <w:sz w:val="24"/>
      <w:szCs w:val="24"/>
      <w:lang w:val="en-US" w:eastAsia="en-US"/>
    </w:rPr>
  </w:style>
  <w:style w:type="character" w:customStyle="1" w:styleId="CharChar1">
    <w:name w:val="Char Char1"/>
    <w:basedOn w:val="DefaultParagraphFont"/>
    <w:uiPriority w:val="99"/>
    <w:rsid w:val="00A52788"/>
    <w:rPr>
      <w:sz w:val="24"/>
      <w:szCs w:val="24"/>
      <w:lang w:val="en-US" w:eastAsia="en-US"/>
    </w:rPr>
  </w:style>
  <w:style w:type="character" w:styleId="PageNumber">
    <w:name w:val="page number"/>
    <w:basedOn w:val="DefaultParagraphFont"/>
    <w:uiPriority w:val="99"/>
    <w:rsid w:val="00A52788"/>
  </w:style>
  <w:style w:type="character" w:customStyle="1" w:styleId="ZchnZchn1">
    <w:name w:val="Zchn Zchn1"/>
    <w:basedOn w:val="DefaultParagraphFont"/>
    <w:uiPriority w:val="99"/>
    <w:rsid w:val="00A52788"/>
    <w:rPr>
      <w:sz w:val="24"/>
      <w:szCs w:val="24"/>
      <w:lang w:val="en-US" w:eastAsia="en-US"/>
    </w:rPr>
  </w:style>
  <w:style w:type="character" w:customStyle="1" w:styleId="CharChar">
    <w:name w:val="Char Char"/>
    <w:basedOn w:val="DefaultParagraphFont"/>
    <w:uiPriority w:val="99"/>
    <w:rsid w:val="00A52788"/>
    <w:rPr>
      <w:sz w:val="24"/>
      <w:szCs w:val="24"/>
      <w:lang w:val="en-US" w:eastAsia="en-US"/>
    </w:rPr>
  </w:style>
  <w:style w:type="character" w:styleId="FollowedHyperlink">
    <w:name w:val="FollowedHyperlink"/>
    <w:basedOn w:val="DefaultParagraphFont"/>
    <w:uiPriority w:val="99"/>
    <w:rsid w:val="00A52788"/>
    <w:rPr>
      <w:color w:val="800080"/>
      <w:u w:val="single"/>
    </w:rPr>
  </w:style>
  <w:style w:type="character" w:customStyle="1" w:styleId="documentbody">
    <w:name w:val="documentbody"/>
    <w:basedOn w:val="DefaultParagraphFont"/>
    <w:uiPriority w:val="99"/>
    <w:rsid w:val="00A52788"/>
  </w:style>
  <w:style w:type="paragraph" w:customStyle="1" w:styleId="Standa">
    <w:name w:val="Standa"/>
    <w:uiPriority w:val="99"/>
    <w:rsid w:val="00A52788"/>
    <w:rPr>
      <w:rFonts w:ascii="Calibri" w:eastAsia="Times New Roman" w:hAnsi="Calibri" w:cs="Calibri"/>
      <w:lang w:val="de-DE" w:eastAsia="de-DE"/>
    </w:rPr>
  </w:style>
  <w:style w:type="character" w:customStyle="1" w:styleId="reportcitation">
    <w:name w:val="reportcitation"/>
    <w:basedOn w:val="DefaultParagraphFont"/>
    <w:uiPriority w:val="99"/>
    <w:rsid w:val="00A52788"/>
  </w:style>
  <w:style w:type="character" w:customStyle="1" w:styleId="CharChar6">
    <w:name w:val="Char Char6"/>
    <w:basedOn w:val="DefaultParagraphFont"/>
    <w:uiPriority w:val="99"/>
    <w:rsid w:val="00A52788"/>
    <w:rPr>
      <w:rFonts w:ascii="Cambria" w:eastAsia="Times New Roman" w:hAnsi="Cambria" w:cs="Times New Roman"/>
      <w:b/>
      <w:bCs/>
      <w:i/>
      <w:iCs/>
      <w:sz w:val="28"/>
      <w:szCs w:val="28"/>
      <w:lang w:val="en-US" w:eastAsia="en-US"/>
    </w:rPr>
  </w:style>
  <w:style w:type="character" w:customStyle="1" w:styleId="A1">
    <w:name w:val="A1"/>
    <w:uiPriority w:val="99"/>
    <w:rsid w:val="00A52788"/>
    <w:rPr>
      <w:color w:val="000000"/>
      <w:sz w:val="22"/>
      <w:szCs w:val="22"/>
    </w:rPr>
  </w:style>
  <w:style w:type="paragraph" w:styleId="DocumentMap">
    <w:name w:val="Document Map"/>
    <w:basedOn w:val="Normal"/>
    <w:link w:val="DocumentMapChar"/>
    <w:uiPriority w:val="99"/>
    <w:rsid w:val="00A52788"/>
    <w:pPr>
      <w:shd w:val="clear" w:color="auto" w:fill="000080"/>
      <w:autoSpaceDE w:val="0"/>
      <w:autoSpaceDN w:val="0"/>
      <w:bidi w:val="0"/>
      <w:adjustRightInd w:val="0"/>
      <w:jc w:val="both"/>
    </w:pPr>
    <w:rPr>
      <w:rFonts w:ascii="Tahoma" w:eastAsia="Times New Roman" w:hAnsi="Tahoma" w:cs="Tahoma"/>
      <w:sz w:val="20"/>
      <w:szCs w:val="20"/>
      <w:lang w:bidi="ar-SA"/>
    </w:rPr>
  </w:style>
  <w:style w:type="character" w:customStyle="1" w:styleId="DocumentMapChar">
    <w:name w:val="Document Map Char"/>
    <w:basedOn w:val="DefaultParagraphFont"/>
    <w:link w:val="DocumentMap"/>
    <w:uiPriority w:val="99"/>
    <w:rsid w:val="00A52788"/>
    <w:rPr>
      <w:rFonts w:ascii="Tahoma" w:eastAsia="Times New Roman" w:hAnsi="Tahoma" w:cs="Tahoma"/>
      <w:sz w:val="20"/>
      <w:szCs w:val="20"/>
      <w:shd w:val="clear" w:color="auto" w:fill="000080"/>
    </w:rPr>
  </w:style>
  <w:style w:type="character" w:customStyle="1" w:styleId="ZchnZchn">
    <w:name w:val="Zchn Zchn"/>
    <w:basedOn w:val="DefaultParagraphFont"/>
    <w:uiPriority w:val="99"/>
    <w:rsid w:val="00A52788"/>
    <w:rPr>
      <w:rFonts w:ascii="Tahoma" w:hAnsi="Tahoma" w:cs="Tahoma"/>
      <w:sz w:val="16"/>
      <w:szCs w:val="16"/>
      <w:lang w:val="en-US" w:eastAsia="en-US"/>
    </w:rPr>
  </w:style>
  <w:style w:type="paragraph" w:customStyle="1" w:styleId="sdfootnote">
    <w:name w:val="sdfootnote"/>
    <w:basedOn w:val="Normal"/>
    <w:uiPriority w:val="99"/>
    <w:rsid w:val="00A52788"/>
    <w:pPr>
      <w:bidi w:val="0"/>
      <w:spacing w:before="100" w:beforeAutospacing="1"/>
    </w:pPr>
    <w:rPr>
      <w:rFonts w:ascii="Times" w:eastAsia="Times New Roman" w:hAnsi="Times" w:cs="Times"/>
      <w:sz w:val="20"/>
      <w:szCs w:val="20"/>
      <w:lang w:bidi="ar-SA"/>
    </w:rPr>
  </w:style>
  <w:style w:type="character" w:customStyle="1" w:styleId="citation">
    <w:name w:val="citation"/>
    <w:basedOn w:val="DefaultParagraphFont"/>
    <w:rsid w:val="00A52788"/>
  </w:style>
  <w:style w:type="character" w:customStyle="1" w:styleId="printonly">
    <w:name w:val="printonly"/>
    <w:basedOn w:val="DefaultParagraphFont"/>
    <w:uiPriority w:val="99"/>
    <w:rsid w:val="00A52788"/>
  </w:style>
  <w:style w:type="character" w:customStyle="1" w:styleId="reference-accessdate">
    <w:name w:val="reference-accessdate"/>
    <w:basedOn w:val="DefaultParagraphFont"/>
    <w:rsid w:val="00A52788"/>
  </w:style>
  <w:style w:type="character" w:customStyle="1" w:styleId="z3988">
    <w:name w:val="z3988"/>
    <w:basedOn w:val="DefaultParagraphFont"/>
    <w:uiPriority w:val="99"/>
    <w:rsid w:val="00A52788"/>
  </w:style>
  <w:style w:type="paragraph" w:styleId="TOC2">
    <w:name w:val="toc 2"/>
    <w:basedOn w:val="Normal"/>
    <w:next w:val="Normal"/>
    <w:autoRedefine/>
    <w:uiPriority w:val="39"/>
    <w:unhideWhenUsed/>
    <w:rsid w:val="00A52788"/>
    <w:pPr>
      <w:spacing w:after="100"/>
      <w:ind w:left="220"/>
    </w:pPr>
  </w:style>
  <w:style w:type="paragraph" w:styleId="Title">
    <w:name w:val="Title"/>
    <w:basedOn w:val="Normal"/>
    <w:next w:val="Normal"/>
    <w:link w:val="TitleChar"/>
    <w:autoRedefine/>
    <w:uiPriority w:val="99"/>
    <w:qFormat/>
    <w:rsid w:val="00A52788"/>
    <w:pPr>
      <w:bidi w:val="0"/>
      <w:spacing w:after="120"/>
      <w:jc w:val="center"/>
    </w:pPr>
    <w:rPr>
      <w:rFonts w:ascii="Times New Roman" w:eastAsia="Calibri" w:hAnsi="Times New Roman" w:cs="Times New Roman"/>
      <w:b/>
      <w:iCs/>
      <w:smallCaps/>
      <w:spacing w:val="5"/>
      <w:kern w:val="28"/>
      <w:sz w:val="36"/>
      <w:szCs w:val="28"/>
      <w:lang w:bidi="ar-SA"/>
    </w:rPr>
  </w:style>
  <w:style w:type="character" w:customStyle="1" w:styleId="TitleChar">
    <w:name w:val="Title Char"/>
    <w:basedOn w:val="DefaultParagraphFont"/>
    <w:link w:val="Title"/>
    <w:uiPriority w:val="99"/>
    <w:rsid w:val="00A52788"/>
    <w:rPr>
      <w:rFonts w:ascii="Times New Roman" w:eastAsia="Calibri" w:hAnsi="Times New Roman" w:cs="Times New Roman"/>
      <w:b/>
      <w:iCs/>
      <w:smallCaps/>
      <w:spacing w:val="5"/>
      <w:kern w:val="28"/>
      <w:sz w:val="36"/>
      <w:szCs w:val="28"/>
    </w:rPr>
  </w:style>
  <w:style w:type="paragraph" w:styleId="Subtitle">
    <w:name w:val="Subtitle"/>
    <w:basedOn w:val="Normal"/>
    <w:next w:val="Normal"/>
    <w:link w:val="SubtitleChar"/>
    <w:uiPriority w:val="99"/>
    <w:qFormat/>
    <w:rsid w:val="00A52788"/>
    <w:pPr>
      <w:numPr>
        <w:ilvl w:val="1"/>
      </w:numPr>
      <w:bidi w:val="0"/>
      <w:spacing w:line="276" w:lineRule="auto"/>
      <w:ind w:firstLine="288"/>
      <w:jc w:val="both"/>
    </w:pPr>
    <w:rPr>
      <w:rFonts w:ascii="Cambria" w:eastAsia="Calibri" w:hAnsi="Cambria" w:cs="Cambria"/>
      <w:i/>
      <w:iCs/>
      <w:color w:val="4F81BD"/>
      <w:spacing w:val="15"/>
      <w:sz w:val="24"/>
      <w:szCs w:val="24"/>
      <w:lang w:bidi="ar-SA"/>
    </w:rPr>
  </w:style>
  <w:style w:type="character" w:customStyle="1" w:styleId="SubtitleChar">
    <w:name w:val="Subtitle Char"/>
    <w:basedOn w:val="DefaultParagraphFont"/>
    <w:link w:val="Subtitle"/>
    <w:uiPriority w:val="99"/>
    <w:rsid w:val="00A52788"/>
    <w:rPr>
      <w:rFonts w:ascii="Cambria" w:eastAsia="Calibri" w:hAnsi="Cambria" w:cs="Cambria"/>
      <w:i/>
      <w:iCs/>
      <w:color w:val="4F81BD"/>
      <w:spacing w:val="15"/>
      <w:sz w:val="24"/>
      <w:szCs w:val="24"/>
    </w:rPr>
  </w:style>
  <w:style w:type="character" w:styleId="SubtleEmphasis">
    <w:name w:val="Subtle Emphasis"/>
    <w:basedOn w:val="DefaultParagraphFont"/>
    <w:uiPriority w:val="99"/>
    <w:qFormat/>
    <w:rsid w:val="00A52788"/>
    <w:rPr>
      <w:rFonts w:cs="Times New Roman"/>
      <w:i/>
      <w:iCs/>
      <w:color w:val="808080"/>
    </w:rPr>
  </w:style>
  <w:style w:type="character" w:customStyle="1" w:styleId="apple-converted-space">
    <w:name w:val="apple-converted-space"/>
    <w:basedOn w:val="DefaultParagraphFont"/>
    <w:rsid w:val="00A52788"/>
    <w:rPr>
      <w:rFonts w:cs="Times New Roman"/>
    </w:rPr>
  </w:style>
  <w:style w:type="character" w:customStyle="1" w:styleId="pmterms2">
    <w:name w:val="pmterms2"/>
    <w:basedOn w:val="DefaultParagraphFont"/>
    <w:uiPriority w:val="99"/>
    <w:rsid w:val="00A52788"/>
    <w:rPr>
      <w:rFonts w:cs="Times New Roman"/>
    </w:rPr>
  </w:style>
  <w:style w:type="character" w:styleId="BookTitle">
    <w:name w:val="Book Title"/>
    <w:basedOn w:val="DefaultParagraphFont"/>
    <w:uiPriority w:val="99"/>
    <w:qFormat/>
    <w:rsid w:val="00A52788"/>
    <w:rPr>
      <w:rFonts w:cs="Times New Roman"/>
      <w:b/>
      <w:bCs/>
      <w:smallCaps/>
      <w:spacing w:val="5"/>
    </w:rPr>
  </w:style>
  <w:style w:type="paragraph" w:styleId="NoSpacing">
    <w:name w:val="No Spacing"/>
    <w:uiPriority w:val="99"/>
    <w:qFormat/>
    <w:rsid w:val="00A52788"/>
    <w:pPr>
      <w:spacing w:after="0" w:line="240" w:lineRule="auto"/>
      <w:ind w:firstLine="288"/>
      <w:jc w:val="both"/>
    </w:pPr>
    <w:rPr>
      <w:rFonts w:ascii="Garamond" w:eastAsia="Times New Roman" w:hAnsi="Garamond" w:cs="Garamond"/>
      <w:sz w:val="24"/>
      <w:szCs w:val="24"/>
    </w:rPr>
  </w:style>
  <w:style w:type="paragraph" w:styleId="TOC3">
    <w:name w:val="toc 3"/>
    <w:basedOn w:val="Normal"/>
    <w:next w:val="Normal"/>
    <w:autoRedefine/>
    <w:uiPriority w:val="39"/>
    <w:rsid w:val="00A52788"/>
    <w:pPr>
      <w:bidi w:val="0"/>
      <w:spacing w:line="276" w:lineRule="auto"/>
      <w:ind w:left="480" w:firstLine="288"/>
    </w:pPr>
    <w:rPr>
      <w:rFonts w:ascii="Calibri" w:eastAsia="Times New Roman" w:hAnsi="Calibri" w:cs="Garamond"/>
      <w:i/>
      <w:iCs/>
      <w:sz w:val="20"/>
      <w:szCs w:val="20"/>
      <w:lang w:bidi="ar-SA"/>
    </w:rPr>
  </w:style>
  <w:style w:type="paragraph" w:styleId="EndnoteText">
    <w:name w:val="endnote text"/>
    <w:basedOn w:val="Normal"/>
    <w:link w:val="EndnoteTextChar"/>
    <w:uiPriority w:val="99"/>
    <w:rsid w:val="00A52788"/>
    <w:pPr>
      <w:bidi w:val="0"/>
      <w:ind w:firstLine="288"/>
      <w:jc w:val="both"/>
    </w:pPr>
    <w:rPr>
      <w:rFonts w:ascii="Garamond" w:eastAsia="Times New Roman" w:hAnsi="Garamond" w:cs="Garamond"/>
      <w:sz w:val="20"/>
      <w:szCs w:val="20"/>
      <w:lang w:bidi="ar-SA"/>
    </w:rPr>
  </w:style>
  <w:style w:type="character" w:customStyle="1" w:styleId="EndnoteTextChar">
    <w:name w:val="Endnote Text Char"/>
    <w:basedOn w:val="DefaultParagraphFont"/>
    <w:link w:val="EndnoteText"/>
    <w:uiPriority w:val="99"/>
    <w:rsid w:val="00A52788"/>
    <w:rPr>
      <w:rFonts w:ascii="Garamond" w:eastAsia="Times New Roman" w:hAnsi="Garamond" w:cs="Garamond"/>
      <w:sz w:val="20"/>
      <w:szCs w:val="20"/>
    </w:rPr>
  </w:style>
  <w:style w:type="character" w:styleId="EndnoteReference">
    <w:name w:val="endnote reference"/>
    <w:basedOn w:val="DefaultParagraphFont"/>
    <w:uiPriority w:val="99"/>
    <w:rsid w:val="00A52788"/>
    <w:rPr>
      <w:rFonts w:cs="Times New Roman"/>
      <w:vertAlign w:val="superscript"/>
    </w:rPr>
  </w:style>
  <w:style w:type="character" w:customStyle="1" w:styleId="citationweb">
    <w:name w:val="citation web"/>
    <w:basedOn w:val="DefaultParagraphFont"/>
    <w:uiPriority w:val="99"/>
    <w:rsid w:val="00A52788"/>
    <w:rPr>
      <w:rFonts w:cs="Times New Roman"/>
    </w:rPr>
  </w:style>
  <w:style w:type="character" w:customStyle="1" w:styleId="PlainTextChar">
    <w:name w:val="Plain Text Char"/>
    <w:basedOn w:val="DefaultParagraphFont"/>
    <w:link w:val="PlainText"/>
    <w:uiPriority w:val="99"/>
    <w:semiHidden/>
    <w:rsid w:val="00A52788"/>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A52788"/>
    <w:pPr>
      <w:bidi w:val="0"/>
    </w:pPr>
    <w:rPr>
      <w:rFonts w:ascii="Consolas" w:eastAsia="Calibri" w:hAnsi="Consolas" w:cs="Times New Roman"/>
      <w:sz w:val="21"/>
      <w:szCs w:val="21"/>
      <w:lang w:bidi="ar-SA"/>
    </w:rPr>
  </w:style>
  <w:style w:type="character" w:customStyle="1" w:styleId="PlainTextChar1">
    <w:name w:val="Plain Text Char1"/>
    <w:basedOn w:val="DefaultParagraphFont"/>
    <w:uiPriority w:val="99"/>
    <w:semiHidden/>
    <w:rsid w:val="00A52788"/>
    <w:rPr>
      <w:rFonts w:ascii="Consolas" w:hAnsi="Consolas" w:cs="Consolas"/>
      <w:sz w:val="21"/>
      <w:szCs w:val="21"/>
      <w:lang w:bidi="he-IL"/>
    </w:rPr>
  </w:style>
  <w:style w:type="paragraph" w:styleId="TOC4">
    <w:name w:val="toc 4"/>
    <w:basedOn w:val="Normal"/>
    <w:next w:val="Normal"/>
    <w:autoRedefine/>
    <w:rsid w:val="00A52788"/>
    <w:pPr>
      <w:bidi w:val="0"/>
      <w:spacing w:line="276" w:lineRule="auto"/>
      <w:ind w:left="720" w:firstLine="288"/>
    </w:pPr>
    <w:rPr>
      <w:rFonts w:ascii="Calibri" w:eastAsia="Times New Roman" w:hAnsi="Calibri" w:cs="Garamond"/>
      <w:sz w:val="18"/>
      <w:szCs w:val="18"/>
      <w:lang w:bidi="ar-SA"/>
    </w:rPr>
  </w:style>
  <w:style w:type="paragraph" w:styleId="TOC5">
    <w:name w:val="toc 5"/>
    <w:basedOn w:val="Normal"/>
    <w:next w:val="Normal"/>
    <w:autoRedefine/>
    <w:rsid w:val="00A52788"/>
    <w:pPr>
      <w:bidi w:val="0"/>
      <w:spacing w:line="276" w:lineRule="auto"/>
      <w:ind w:left="960" w:firstLine="288"/>
    </w:pPr>
    <w:rPr>
      <w:rFonts w:ascii="Calibri" w:eastAsia="Times New Roman" w:hAnsi="Calibri" w:cs="Garamond"/>
      <w:sz w:val="18"/>
      <w:szCs w:val="18"/>
      <w:lang w:bidi="ar-SA"/>
    </w:rPr>
  </w:style>
  <w:style w:type="paragraph" w:styleId="TOC6">
    <w:name w:val="toc 6"/>
    <w:basedOn w:val="Normal"/>
    <w:next w:val="Normal"/>
    <w:autoRedefine/>
    <w:rsid w:val="00A52788"/>
    <w:pPr>
      <w:bidi w:val="0"/>
      <w:spacing w:line="276" w:lineRule="auto"/>
      <w:ind w:left="1200" w:firstLine="288"/>
    </w:pPr>
    <w:rPr>
      <w:rFonts w:ascii="Calibri" w:eastAsia="Times New Roman" w:hAnsi="Calibri" w:cs="Garamond"/>
      <w:sz w:val="18"/>
      <w:szCs w:val="18"/>
      <w:lang w:bidi="ar-SA"/>
    </w:rPr>
  </w:style>
  <w:style w:type="paragraph" w:styleId="TOC7">
    <w:name w:val="toc 7"/>
    <w:basedOn w:val="Normal"/>
    <w:next w:val="Normal"/>
    <w:autoRedefine/>
    <w:rsid w:val="00A52788"/>
    <w:pPr>
      <w:bidi w:val="0"/>
      <w:spacing w:line="276" w:lineRule="auto"/>
      <w:ind w:left="1440" w:firstLine="288"/>
    </w:pPr>
    <w:rPr>
      <w:rFonts w:ascii="Calibri" w:eastAsia="Times New Roman" w:hAnsi="Calibri" w:cs="Garamond"/>
      <w:sz w:val="18"/>
      <w:szCs w:val="18"/>
      <w:lang w:bidi="ar-SA"/>
    </w:rPr>
  </w:style>
  <w:style w:type="paragraph" w:styleId="TOC8">
    <w:name w:val="toc 8"/>
    <w:basedOn w:val="Normal"/>
    <w:next w:val="Normal"/>
    <w:autoRedefine/>
    <w:rsid w:val="00A52788"/>
    <w:pPr>
      <w:bidi w:val="0"/>
      <w:spacing w:line="276" w:lineRule="auto"/>
      <w:ind w:left="1680" w:firstLine="288"/>
    </w:pPr>
    <w:rPr>
      <w:rFonts w:ascii="Calibri" w:eastAsia="Times New Roman" w:hAnsi="Calibri" w:cs="Garamond"/>
      <w:sz w:val="18"/>
      <w:szCs w:val="18"/>
      <w:lang w:bidi="ar-SA"/>
    </w:rPr>
  </w:style>
  <w:style w:type="paragraph" w:styleId="TOC9">
    <w:name w:val="toc 9"/>
    <w:basedOn w:val="Normal"/>
    <w:next w:val="Normal"/>
    <w:autoRedefine/>
    <w:rsid w:val="00A52788"/>
    <w:pPr>
      <w:bidi w:val="0"/>
      <w:spacing w:line="276" w:lineRule="auto"/>
      <w:ind w:left="1920" w:firstLine="288"/>
    </w:pPr>
    <w:rPr>
      <w:rFonts w:ascii="Calibri" w:eastAsia="Times New Roman" w:hAnsi="Calibri" w:cs="Garamond"/>
      <w:sz w:val="18"/>
      <w:szCs w:val="18"/>
      <w:lang w:bidi="ar-SA"/>
    </w:rPr>
  </w:style>
  <w:style w:type="paragraph" w:styleId="Caption">
    <w:name w:val="caption"/>
    <w:basedOn w:val="Normal"/>
    <w:next w:val="Normal"/>
    <w:unhideWhenUsed/>
    <w:qFormat/>
    <w:rsid w:val="00A52788"/>
    <w:pPr>
      <w:bidi w:val="0"/>
      <w:spacing w:line="276" w:lineRule="auto"/>
      <w:ind w:firstLine="288"/>
      <w:jc w:val="both"/>
    </w:pPr>
    <w:rPr>
      <w:rFonts w:ascii="Garamond" w:eastAsia="Times New Roman" w:hAnsi="Garamond" w:cs="Garamond"/>
      <w:b/>
      <w:bCs/>
      <w:sz w:val="20"/>
      <w:szCs w:val="20"/>
      <w:lang w:bidi="ar-SA"/>
    </w:rPr>
  </w:style>
  <w:style w:type="character" w:customStyle="1" w:styleId="add">
    <w:name w:val="add"/>
    <w:basedOn w:val="DefaultParagraphFont"/>
    <w:rsid w:val="00A52788"/>
  </w:style>
  <w:style w:type="character" w:customStyle="1" w:styleId="FootnoteCharacters">
    <w:name w:val="Footnote Characters"/>
    <w:basedOn w:val="DefaultParagraphFont"/>
    <w:rsid w:val="00A52788"/>
    <w:rPr>
      <w:rFonts w:cs="Times New Roman"/>
      <w:vertAlign w:val="superscript"/>
    </w:rPr>
  </w:style>
  <w:style w:type="character" w:customStyle="1" w:styleId="FootnoteReference1">
    <w:name w:val="Footnote Reference1"/>
    <w:rsid w:val="00A52788"/>
    <w:rPr>
      <w:vertAlign w:val="superscript"/>
    </w:rPr>
  </w:style>
  <w:style w:type="character" w:styleId="HTMLTypewriter">
    <w:name w:val="HTML Typewriter"/>
    <w:basedOn w:val="DefaultParagraphFont"/>
    <w:uiPriority w:val="99"/>
    <w:rsid w:val="00A52788"/>
    <w:rPr>
      <w:rFonts w:ascii="Verdana" w:hAnsi="Verdana" w:cs="Courier New"/>
      <w:sz w:val="18"/>
      <w:szCs w:val="18"/>
    </w:rPr>
  </w:style>
  <w:style w:type="paragraph" w:customStyle="1" w:styleId="plist">
    <w:name w:val="plist"/>
    <w:basedOn w:val="Normal"/>
    <w:rsid w:val="00A52788"/>
    <w:pPr>
      <w:bidi w:val="0"/>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Refdenotaalpie">
    <w:name w:val="Ref. de nota al pie"/>
    <w:uiPriority w:val="99"/>
    <w:rsid w:val="00A52788"/>
    <w:rPr>
      <w:color w:val="000000"/>
    </w:rPr>
  </w:style>
  <w:style w:type="character" w:customStyle="1" w:styleId="ft">
    <w:name w:val="ft"/>
    <w:basedOn w:val="DefaultParagraphFont"/>
    <w:rsid w:val="00A52788"/>
    <w:rPr>
      <w:rFonts w:cs="Times New Roman"/>
    </w:rPr>
  </w:style>
  <w:style w:type="character" w:customStyle="1" w:styleId="ff31">
    <w:name w:val="ff31"/>
    <w:basedOn w:val="DefaultParagraphFont"/>
    <w:uiPriority w:val="99"/>
    <w:rsid w:val="00A52788"/>
    <w:rPr>
      <w:rFonts w:ascii="ff3" w:hAnsi="ff3" w:cs="Times New Roman"/>
    </w:rPr>
  </w:style>
  <w:style w:type="character" w:customStyle="1" w:styleId="shortdesc1">
    <w:name w:val="short_desc1"/>
    <w:basedOn w:val="DefaultParagraphFont"/>
    <w:rsid w:val="00A52788"/>
    <w:rPr>
      <w:rFonts w:ascii="Verdana" w:hAnsi="Verdana" w:cs="Times New Roman"/>
      <w:color w:val="000000"/>
      <w:sz w:val="15"/>
      <w:szCs w:val="15"/>
      <w:u w:val="none"/>
      <w:effect w:val="none"/>
    </w:rPr>
  </w:style>
  <w:style w:type="paragraph" w:customStyle="1" w:styleId="style3">
    <w:name w:val="style3"/>
    <w:basedOn w:val="Normal"/>
    <w:rsid w:val="00A52788"/>
    <w:pPr>
      <w:bidi w:val="0"/>
      <w:spacing w:before="100" w:beforeAutospacing="1" w:after="100" w:afterAutospacing="1"/>
    </w:pPr>
    <w:rPr>
      <w:rFonts w:ascii="Georgia" w:eastAsia="Times New Roman" w:hAnsi="Georgia" w:cs="Times New Roman"/>
      <w:sz w:val="24"/>
      <w:szCs w:val="24"/>
      <w:lang w:val="en-GB" w:eastAsia="en-GB" w:bidi="ar-SA"/>
    </w:rPr>
  </w:style>
  <w:style w:type="character" w:customStyle="1" w:styleId="lucenesearchresulturlb">
    <w:name w:val="lucene_search_result_url_b"/>
    <w:basedOn w:val="DefaultParagraphFont"/>
    <w:rsid w:val="00A52788"/>
  </w:style>
  <w:style w:type="paragraph" w:customStyle="1" w:styleId="Title10">
    <w:name w:val="Title1"/>
    <w:basedOn w:val="Normal"/>
    <w:rsid w:val="00A52788"/>
    <w:pPr>
      <w:bidi w:val="0"/>
      <w:spacing w:before="100" w:beforeAutospacing="1" w:after="100" w:afterAutospacing="1"/>
    </w:pPr>
    <w:rPr>
      <w:rFonts w:ascii="Times New Roman" w:eastAsia="Times New Roman" w:hAnsi="Times New Roman" w:cs="Times New Roman"/>
      <w:sz w:val="24"/>
      <w:szCs w:val="24"/>
    </w:rPr>
  </w:style>
  <w:style w:type="character" w:customStyle="1" w:styleId="smalltitles">
    <w:name w:val="smalltitles"/>
    <w:basedOn w:val="DefaultParagraphFont"/>
    <w:rsid w:val="00A52788"/>
  </w:style>
  <w:style w:type="character" w:customStyle="1" w:styleId="textwithoutbg1">
    <w:name w:val="text_without_bg1"/>
    <w:basedOn w:val="DefaultParagraphFont"/>
    <w:rsid w:val="00A52788"/>
    <w:rPr>
      <w:rFonts w:ascii="Tahoma" w:hAnsi="Tahoma" w:cs="Tahoma" w:hint="default"/>
      <w:color w:val="000000"/>
      <w:sz w:val="17"/>
      <w:szCs w:val="17"/>
    </w:rPr>
  </w:style>
  <w:style w:type="character" w:customStyle="1" w:styleId="BodyTextIndent2Char">
    <w:name w:val="Body Text Indent 2 Char"/>
    <w:basedOn w:val="DefaultParagraphFont"/>
    <w:link w:val="BodyTextIndent2"/>
    <w:uiPriority w:val="99"/>
    <w:semiHidden/>
    <w:rsid w:val="00A52788"/>
  </w:style>
  <w:style w:type="paragraph" w:styleId="BodyTextIndent2">
    <w:name w:val="Body Text Indent 2"/>
    <w:basedOn w:val="Normal"/>
    <w:link w:val="BodyTextIndent2Char"/>
    <w:uiPriority w:val="99"/>
    <w:semiHidden/>
    <w:unhideWhenUsed/>
    <w:rsid w:val="00A52788"/>
    <w:pPr>
      <w:spacing w:after="120" w:line="480" w:lineRule="auto"/>
      <w:ind w:left="360"/>
    </w:pPr>
    <w:rPr>
      <w:lang w:bidi="ar-SA"/>
    </w:rPr>
  </w:style>
  <w:style w:type="character" w:customStyle="1" w:styleId="BodyTextIndent2Char1">
    <w:name w:val="Body Text Indent 2 Char1"/>
    <w:basedOn w:val="DefaultParagraphFont"/>
    <w:uiPriority w:val="99"/>
    <w:semiHidden/>
    <w:rsid w:val="00A52788"/>
    <w:rPr>
      <w:lang w:bidi="he-IL"/>
    </w:rPr>
  </w:style>
  <w:style w:type="paragraph" w:customStyle="1" w:styleId="indented">
    <w:name w:val="indented"/>
    <w:basedOn w:val="Normal"/>
    <w:rsid w:val="00A52788"/>
    <w:pPr>
      <w:bidi w:val="0"/>
      <w:spacing w:before="100" w:beforeAutospacing="1" w:after="100" w:afterAutospacing="1"/>
    </w:pPr>
    <w:rPr>
      <w:rFonts w:ascii="Times New Roman" w:eastAsia="Times New Roman" w:hAnsi="Times New Roman" w:cs="Times New Roman"/>
      <w:sz w:val="24"/>
      <w:szCs w:val="24"/>
    </w:rPr>
  </w:style>
  <w:style w:type="character" w:customStyle="1" w:styleId="FootnoteTextChar1">
    <w:name w:val="Footnote Text Char1"/>
    <w:basedOn w:val="DefaultParagraphFont"/>
    <w:uiPriority w:val="99"/>
    <w:rsid w:val="00A52788"/>
  </w:style>
  <w:style w:type="paragraph" w:customStyle="1" w:styleId="Revisin">
    <w:name w:val="Revisión"/>
    <w:hidden/>
    <w:uiPriority w:val="71"/>
    <w:rsid w:val="00A52788"/>
    <w:pPr>
      <w:spacing w:after="0" w:line="240" w:lineRule="auto"/>
    </w:pPr>
    <w:rPr>
      <w:rFonts w:ascii="Cambria" w:eastAsia="MS Mincho" w:hAnsi="Cambria" w:cs="Times New Roman"/>
      <w:sz w:val="24"/>
      <w:szCs w:val="24"/>
      <w:lang w:val="it-IT" w:eastAsia="es-ES"/>
    </w:rPr>
  </w:style>
  <w:style w:type="paragraph" w:customStyle="1" w:styleId="Style1">
    <w:name w:val="Style1"/>
    <w:basedOn w:val="FootnoteText"/>
    <w:autoRedefine/>
    <w:qFormat/>
    <w:rsid w:val="00A52788"/>
    <w:pPr>
      <w:jc w:val="both"/>
    </w:pPr>
    <w:rPr>
      <w:rFonts w:cs="Times New Roman"/>
      <w:szCs w:val="24"/>
      <w:lang w:bidi="ar-SA"/>
    </w:rPr>
  </w:style>
  <w:style w:type="character" w:customStyle="1" w:styleId="st">
    <w:name w:val="st"/>
    <w:rsid w:val="00A52788"/>
    <w:rPr>
      <w:rFonts w:cs="Times New Roman"/>
    </w:rPr>
  </w:style>
  <w:style w:type="character" w:customStyle="1" w:styleId="longtext">
    <w:name w:val="long_text"/>
    <w:rsid w:val="00A52788"/>
    <w:rPr>
      <w:rFonts w:cs="Times New Roman"/>
    </w:rPr>
  </w:style>
  <w:style w:type="paragraph" w:styleId="TOCHeading">
    <w:name w:val="TOC Heading"/>
    <w:basedOn w:val="Heading1"/>
    <w:next w:val="Normal"/>
    <w:uiPriority w:val="39"/>
    <w:semiHidden/>
    <w:unhideWhenUsed/>
    <w:qFormat/>
    <w:rsid w:val="00A52788"/>
    <w:pPr>
      <w:outlineLvl w:val="9"/>
    </w:pPr>
  </w:style>
  <w:style w:type="character" w:customStyle="1" w:styleId="huge1">
    <w:name w:val="huge1"/>
    <w:basedOn w:val="DefaultParagraphFont"/>
    <w:rsid w:val="00A52788"/>
    <w:rPr>
      <w:rFonts w:ascii="Verdana" w:hAnsi="Verdana" w:hint="default"/>
      <w:sz w:val="30"/>
      <w:szCs w:val="30"/>
    </w:rPr>
  </w:style>
  <w:style w:type="paragraph" w:customStyle="1" w:styleId="Heading11">
    <w:name w:val="Heading 11"/>
    <w:basedOn w:val="Normal"/>
    <w:next w:val="Normal"/>
    <w:uiPriority w:val="9"/>
    <w:qFormat/>
    <w:rsid w:val="00A52788"/>
    <w:pPr>
      <w:keepNext/>
      <w:keepLines/>
      <w:spacing w:before="480"/>
      <w:outlineLvl w:val="0"/>
    </w:pPr>
    <w:rPr>
      <w:rFonts w:ascii="Cambria" w:eastAsia="Times New Roman" w:hAnsi="Cambria" w:cs="Times New Roman"/>
      <w:b/>
      <w:bCs/>
      <w:color w:val="365F91"/>
      <w:sz w:val="28"/>
      <w:szCs w:val="28"/>
      <w:lang w:bidi="ar-SA"/>
    </w:rPr>
  </w:style>
  <w:style w:type="paragraph" w:customStyle="1" w:styleId="Heading31">
    <w:name w:val="Heading 31"/>
    <w:basedOn w:val="Normal"/>
    <w:next w:val="Normal"/>
    <w:uiPriority w:val="9"/>
    <w:unhideWhenUsed/>
    <w:qFormat/>
    <w:rsid w:val="00A52788"/>
    <w:pPr>
      <w:keepNext/>
      <w:keepLines/>
      <w:bidi w:val="0"/>
      <w:spacing w:before="200"/>
      <w:outlineLvl w:val="2"/>
    </w:pPr>
    <w:rPr>
      <w:rFonts w:ascii="Cambria" w:eastAsia="Times New Roman" w:hAnsi="Cambria" w:cs="Times New Roman"/>
      <w:b/>
      <w:bCs/>
      <w:color w:val="4F81BD"/>
      <w:sz w:val="24"/>
      <w:szCs w:val="24"/>
      <w:lang w:val="en-GB" w:eastAsia="en-GB" w:bidi="ar-SA"/>
    </w:rPr>
  </w:style>
  <w:style w:type="paragraph" w:customStyle="1" w:styleId="Heading41">
    <w:name w:val="Heading 41"/>
    <w:basedOn w:val="Normal"/>
    <w:next w:val="Normal"/>
    <w:uiPriority w:val="9"/>
    <w:unhideWhenUsed/>
    <w:qFormat/>
    <w:rsid w:val="00A52788"/>
    <w:pPr>
      <w:keepNext/>
      <w:keepLines/>
      <w:bidi w:val="0"/>
      <w:spacing w:before="200"/>
      <w:outlineLvl w:val="3"/>
    </w:pPr>
    <w:rPr>
      <w:rFonts w:ascii="Cambria" w:eastAsia="Times New Roman" w:hAnsi="Cambria" w:cs="Times New Roman"/>
      <w:b/>
      <w:bCs/>
      <w:i/>
      <w:iCs/>
      <w:color w:val="4F81BD"/>
      <w:sz w:val="24"/>
      <w:szCs w:val="24"/>
      <w:lang w:val="en-GB" w:eastAsia="en-GB" w:bidi="ar-SA"/>
    </w:rPr>
  </w:style>
  <w:style w:type="paragraph" w:customStyle="1" w:styleId="Heading61">
    <w:name w:val="Heading 61"/>
    <w:basedOn w:val="Normal"/>
    <w:next w:val="Normal"/>
    <w:uiPriority w:val="9"/>
    <w:unhideWhenUsed/>
    <w:qFormat/>
    <w:rsid w:val="00A52788"/>
    <w:pPr>
      <w:keepNext/>
      <w:keepLines/>
      <w:bidi w:val="0"/>
      <w:spacing w:before="200"/>
      <w:outlineLvl w:val="5"/>
    </w:pPr>
    <w:rPr>
      <w:rFonts w:ascii="Cambria" w:eastAsia="Times New Roman" w:hAnsi="Cambria" w:cs="Times New Roman"/>
      <w:i/>
      <w:iCs/>
      <w:color w:val="243F60"/>
      <w:sz w:val="24"/>
      <w:szCs w:val="24"/>
      <w:lang w:bidi="ar-SA"/>
    </w:rPr>
  </w:style>
  <w:style w:type="numbering" w:customStyle="1" w:styleId="NoList1">
    <w:name w:val="No List1"/>
    <w:next w:val="NoList"/>
    <w:uiPriority w:val="99"/>
    <w:semiHidden/>
    <w:unhideWhenUsed/>
    <w:rsid w:val="00A52788"/>
  </w:style>
  <w:style w:type="character" w:customStyle="1" w:styleId="Heading1Char1">
    <w:name w:val="Heading 1 Char1"/>
    <w:basedOn w:val="DefaultParagraphFont"/>
    <w:uiPriority w:val="9"/>
    <w:rsid w:val="00A52788"/>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A52788"/>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A52788"/>
    <w:rPr>
      <w:rFonts w:asciiTheme="majorHAnsi" w:eastAsiaTheme="majorEastAsia" w:hAnsiTheme="majorHAnsi" w:cstheme="majorBidi"/>
      <w:b/>
      <w:bCs/>
      <w:i/>
      <w:iCs/>
      <w:color w:val="4F81BD" w:themeColor="accent1"/>
    </w:rPr>
  </w:style>
  <w:style w:type="character" w:customStyle="1" w:styleId="Heading6Char1">
    <w:name w:val="Heading 6 Char1"/>
    <w:basedOn w:val="DefaultParagraphFont"/>
    <w:uiPriority w:val="9"/>
    <w:semiHidden/>
    <w:rsid w:val="00A52788"/>
    <w:rPr>
      <w:rFonts w:asciiTheme="majorHAnsi" w:eastAsiaTheme="majorEastAsia" w:hAnsiTheme="majorHAnsi" w:cstheme="majorBidi"/>
      <w:i/>
      <w:iCs/>
      <w:color w:val="243F60" w:themeColor="accent1" w:themeShade="7F"/>
    </w:rPr>
  </w:style>
  <w:style w:type="paragraph" w:customStyle="1" w:styleId="Body1">
    <w:name w:val="Body 1"/>
    <w:rsid w:val="00A52788"/>
    <w:pPr>
      <w:spacing w:after="0" w:line="240" w:lineRule="auto"/>
      <w:ind w:firstLine="720"/>
      <w:jc w:val="both"/>
      <w:outlineLvl w:val="0"/>
    </w:pPr>
    <w:rPr>
      <w:rFonts w:ascii="Times New Roman" w:eastAsia="Arial Unicode MS" w:hAnsi="Times New Roman" w:cs="Times New Roman"/>
      <w:color w:val="000000"/>
      <w:sz w:val="24"/>
      <w:szCs w:val="20"/>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48271">
      <w:bodyDiv w:val="1"/>
      <w:marLeft w:val="0"/>
      <w:marRight w:val="0"/>
      <w:marTop w:val="0"/>
      <w:marBottom w:val="0"/>
      <w:divBdr>
        <w:top w:val="none" w:sz="0" w:space="0" w:color="auto"/>
        <w:left w:val="none" w:sz="0" w:space="0" w:color="auto"/>
        <w:bottom w:val="none" w:sz="0" w:space="0" w:color="auto"/>
        <w:right w:val="none" w:sz="0" w:space="0" w:color="auto"/>
      </w:divBdr>
    </w:div>
    <w:div w:id="413816475">
      <w:bodyDiv w:val="1"/>
      <w:marLeft w:val="0"/>
      <w:marRight w:val="0"/>
      <w:marTop w:val="0"/>
      <w:marBottom w:val="0"/>
      <w:divBdr>
        <w:top w:val="none" w:sz="0" w:space="0" w:color="auto"/>
        <w:left w:val="none" w:sz="0" w:space="0" w:color="auto"/>
        <w:bottom w:val="none" w:sz="0" w:space="0" w:color="auto"/>
        <w:right w:val="none" w:sz="0" w:space="0" w:color="auto"/>
      </w:divBdr>
    </w:div>
    <w:div w:id="633753188">
      <w:bodyDiv w:val="1"/>
      <w:marLeft w:val="0"/>
      <w:marRight w:val="0"/>
      <w:marTop w:val="0"/>
      <w:marBottom w:val="0"/>
      <w:divBdr>
        <w:top w:val="none" w:sz="0" w:space="0" w:color="auto"/>
        <w:left w:val="none" w:sz="0" w:space="0" w:color="auto"/>
        <w:bottom w:val="none" w:sz="0" w:space="0" w:color="auto"/>
        <w:right w:val="none" w:sz="0" w:space="0" w:color="auto"/>
      </w:divBdr>
      <w:divsChild>
        <w:div w:id="718865329">
          <w:marLeft w:val="45"/>
          <w:marRight w:val="45"/>
          <w:marTop w:val="0"/>
          <w:marBottom w:val="0"/>
          <w:divBdr>
            <w:top w:val="none" w:sz="0" w:space="0" w:color="auto"/>
            <w:left w:val="none" w:sz="0" w:space="0" w:color="auto"/>
            <w:bottom w:val="none" w:sz="0" w:space="0" w:color="auto"/>
            <w:right w:val="none" w:sz="0" w:space="0" w:color="auto"/>
          </w:divBdr>
          <w:divsChild>
            <w:div w:id="13042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5528">
      <w:bodyDiv w:val="1"/>
      <w:marLeft w:val="0"/>
      <w:marRight w:val="0"/>
      <w:marTop w:val="0"/>
      <w:marBottom w:val="0"/>
      <w:divBdr>
        <w:top w:val="none" w:sz="0" w:space="0" w:color="auto"/>
        <w:left w:val="none" w:sz="0" w:space="0" w:color="auto"/>
        <w:bottom w:val="none" w:sz="0" w:space="0" w:color="auto"/>
        <w:right w:val="none" w:sz="0" w:space="0" w:color="auto"/>
      </w:divBdr>
    </w:div>
    <w:div w:id="759303130">
      <w:bodyDiv w:val="1"/>
      <w:marLeft w:val="0"/>
      <w:marRight w:val="0"/>
      <w:marTop w:val="0"/>
      <w:marBottom w:val="0"/>
      <w:divBdr>
        <w:top w:val="none" w:sz="0" w:space="0" w:color="auto"/>
        <w:left w:val="none" w:sz="0" w:space="0" w:color="auto"/>
        <w:bottom w:val="none" w:sz="0" w:space="0" w:color="auto"/>
        <w:right w:val="none" w:sz="0" w:space="0" w:color="auto"/>
      </w:divBdr>
    </w:div>
    <w:div w:id="967704971">
      <w:bodyDiv w:val="1"/>
      <w:marLeft w:val="0"/>
      <w:marRight w:val="0"/>
      <w:marTop w:val="0"/>
      <w:marBottom w:val="0"/>
      <w:divBdr>
        <w:top w:val="none" w:sz="0" w:space="0" w:color="auto"/>
        <w:left w:val="none" w:sz="0" w:space="0" w:color="auto"/>
        <w:bottom w:val="none" w:sz="0" w:space="0" w:color="auto"/>
        <w:right w:val="none" w:sz="0" w:space="0" w:color="auto"/>
      </w:divBdr>
    </w:div>
    <w:div w:id="1192450119">
      <w:bodyDiv w:val="1"/>
      <w:marLeft w:val="0"/>
      <w:marRight w:val="0"/>
      <w:marTop w:val="0"/>
      <w:marBottom w:val="0"/>
      <w:divBdr>
        <w:top w:val="none" w:sz="0" w:space="0" w:color="auto"/>
        <w:left w:val="none" w:sz="0" w:space="0" w:color="auto"/>
        <w:bottom w:val="none" w:sz="0" w:space="0" w:color="auto"/>
        <w:right w:val="none" w:sz="0" w:space="0" w:color="auto"/>
      </w:divBdr>
    </w:div>
    <w:div w:id="1562979907">
      <w:bodyDiv w:val="1"/>
      <w:marLeft w:val="0"/>
      <w:marRight w:val="0"/>
      <w:marTop w:val="0"/>
      <w:marBottom w:val="0"/>
      <w:divBdr>
        <w:top w:val="none" w:sz="0" w:space="0" w:color="auto"/>
        <w:left w:val="none" w:sz="0" w:space="0" w:color="auto"/>
        <w:bottom w:val="none" w:sz="0" w:space="0" w:color="auto"/>
        <w:right w:val="none" w:sz="0" w:space="0" w:color="auto"/>
      </w:divBdr>
    </w:div>
    <w:div w:id="1820271776">
      <w:bodyDiv w:val="1"/>
      <w:marLeft w:val="0"/>
      <w:marRight w:val="0"/>
      <w:marTop w:val="0"/>
      <w:marBottom w:val="0"/>
      <w:divBdr>
        <w:top w:val="none" w:sz="0" w:space="0" w:color="auto"/>
        <w:left w:val="none" w:sz="0" w:space="0" w:color="auto"/>
        <w:bottom w:val="none" w:sz="0" w:space="0" w:color="auto"/>
        <w:right w:val="none" w:sz="0" w:space="0" w:color="auto"/>
      </w:divBdr>
    </w:div>
    <w:div w:id="20272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mutazq@hebron.edu" TargetMode="External"/><Relationship Id="rId1" Type="http://schemas.openxmlformats.org/officeDocument/2006/relationships/hyperlink" Target="mailto:mmqafishe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3DD0-77D1-4BEC-80CC-6BC1F91F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10063</Words>
  <Characters>57365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actc</cp:lastModifiedBy>
  <cp:revision>2</cp:revision>
  <dcterms:created xsi:type="dcterms:W3CDTF">2019-10-18T16:12:00Z</dcterms:created>
  <dcterms:modified xsi:type="dcterms:W3CDTF">2019-10-18T16:12:00Z</dcterms:modified>
</cp:coreProperties>
</file>