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E" w:rsidRDefault="00E22F3E" w:rsidP="00E22F3E">
      <w:pPr>
        <w:bidi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 CENTURY OF LAW</w:t>
      </w:r>
      <w:r w:rsidRPr="004346D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PROFESSION IN PALESTINE</w:t>
      </w:r>
    </w:p>
    <w:p w:rsidR="00E22F3E" w:rsidRPr="005E4496" w:rsidRDefault="00E22F3E" w:rsidP="00E22F3E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22F3E" w:rsidRPr="005E4496" w:rsidRDefault="00E22F3E" w:rsidP="00E22F3E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E4496">
        <w:rPr>
          <w:rFonts w:asciiTheme="majorBidi" w:hAnsiTheme="majorBidi" w:cstheme="majorBidi"/>
          <w:b/>
          <w:bCs/>
          <w:sz w:val="32"/>
          <w:szCs w:val="32"/>
        </w:rPr>
        <w:t>QUO VADIS?</w:t>
      </w:r>
    </w:p>
    <w:p w:rsidR="00E22F3E" w:rsidRPr="005E4496" w:rsidRDefault="00E22F3E" w:rsidP="00E22F3E">
      <w:pPr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22F3E" w:rsidRPr="004346D0" w:rsidRDefault="00E22F3E" w:rsidP="00E22F3E">
      <w:pPr>
        <w:bidi w:val="0"/>
        <w:spacing w:after="0" w:line="240" w:lineRule="auto"/>
        <w:jc w:val="center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Adv. </w:t>
      </w:r>
      <w:proofErr w:type="spellStart"/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>Mutaz</w:t>
      </w:r>
      <w:proofErr w:type="spellEnd"/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 </w:t>
      </w:r>
      <w:proofErr w:type="spellStart"/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>Qafisheh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*</w:t>
      </w:r>
    </w:p>
    <w:p w:rsidR="00E22F3E" w:rsidRPr="00050934" w:rsidRDefault="00E22F3E" w:rsidP="00E22F3E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05093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PhD, Graduate Institute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of International and Development Studies</w:t>
      </w:r>
      <w:r w:rsidRPr="0005093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, Geneva</w:t>
      </w:r>
    </w:p>
    <w:p w:rsidR="00E22F3E" w:rsidRPr="00050934" w:rsidRDefault="00E22F3E" w:rsidP="00E22F3E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05093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Dean, College of Law and Political Science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&amp; </w:t>
      </w:r>
      <w:r w:rsidRPr="0005093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Asso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ciate Professor of International </w:t>
      </w:r>
      <w:r w:rsidRPr="0005093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Law</w:t>
      </w:r>
    </w:p>
    <w:p w:rsidR="00E22F3E" w:rsidRPr="00050934" w:rsidRDefault="00E22F3E" w:rsidP="00E22F3E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05093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Hebron University, Palestine</w:t>
      </w:r>
    </w:p>
    <w:p w:rsidR="00E22F3E" w:rsidRPr="00050934" w:rsidRDefault="00E22F3E" w:rsidP="00E22F3E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05093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PhD Supervisor, University of Exeter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Law School</w:t>
      </w:r>
      <w:r w:rsidRPr="0005093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, UK</w:t>
      </w:r>
    </w:p>
    <w:p w:rsidR="00E22F3E" w:rsidRDefault="00E22F3E" w:rsidP="00E22F3E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22F3E" w:rsidRPr="00144428" w:rsidRDefault="00E22F3E" w:rsidP="00E22F3E">
      <w:pPr>
        <w:pBdr>
          <w:bottom w:val="single" w:sz="6" w:space="1" w:color="auto"/>
        </w:pBdr>
        <w:bidi w:val="0"/>
        <w:spacing w:after="0" w:line="240" w:lineRule="auto"/>
        <w:jc w:val="center"/>
        <w:outlineLvl w:val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4442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Email: </w:t>
      </w:r>
      <w:bookmarkStart w:id="0" w:name="_GoBack"/>
      <w:bookmarkEnd w:id="0"/>
      <w:r>
        <w:fldChar w:fldCharType="begin"/>
      </w:r>
      <w:r>
        <w:instrText xml:space="preserve"> HYPERLINK "mailto:mutazq@hebron.edu" </w:instrText>
      </w:r>
      <w:r>
        <w:fldChar w:fldCharType="separate"/>
      </w:r>
      <w:r w:rsidRPr="00144428">
        <w:rPr>
          <w:rStyle w:val="Hyperlink"/>
          <w:rFonts w:asciiTheme="majorBidi" w:hAnsiTheme="majorBidi" w:cstheme="majorBidi"/>
          <w:color w:val="000000" w:themeColor="text1"/>
          <w:sz w:val="20"/>
          <w:szCs w:val="20"/>
        </w:rPr>
        <w:t>mutazq@hebron.edu</w:t>
      </w:r>
      <w:r>
        <w:rPr>
          <w:rStyle w:val="Hyperlink"/>
          <w:rFonts w:asciiTheme="majorBidi" w:hAnsiTheme="majorBidi" w:cstheme="majorBidi"/>
          <w:color w:val="000000" w:themeColor="text1"/>
          <w:sz w:val="20"/>
          <w:szCs w:val="20"/>
          <w:u w:val="none"/>
        </w:rPr>
        <w:fldChar w:fldCharType="end"/>
      </w:r>
    </w:p>
    <w:p w:rsidR="00E22F3E" w:rsidRPr="00050934" w:rsidRDefault="00E22F3E" w:rsidP="00E22F3E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22F3E" w:rsidRPr="004346D0" w:rsidRDefault="00E22F3E" w:rsidP="00E22F3E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December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2016</w:t>
      </w:r>
    </w:p>
    <w:p w:rsidR="00E22F3E" w:rsidRPr="004346D0" w:rsidRDefault="00E22F3E" w:rsidP="00E22F3E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22F3E" w:rsidRDefault="00E22F3E" w:rsidP="00E22F3E">
      <w:pPr>
        <w:bidi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22F3E" w:rsidRPr="002415B7" w:rsidRDefault="00E22F3E" w:rsidP="00E22F3E">
      <w:pPr>
        <w:bidi w:val="0"/>
        <w:spacing w:after="0" w:line="240" w:lineRule="auto"/>
        <w:jc w:val="center"/>
        <w:outlineLvl w:val="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2415B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Abstract</w:t>
      </w:r>
    </w:p>
    <w:p w:rsidR="00E22F3E" w:rsidRPr="004346D0" w:rsidRDefault="00E22F3E" w:rsidP="00E22F3E">
      <w:pPr>
        <w:bidi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22F3E" w:rsidRDefault="00E22F3E" w:rsidP="00E22F3E">
      <w:pPr>
        <w:pBdr>
          <w:bottom w:val="single" w:sz="6" w:space="1" w:color="auto"/>
        </w:pBd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>Th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 main challenge encountered by the law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profession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Palestine 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>throughout it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 hundred-year 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history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division over political lines. The split started with the establishment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Palestinian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Jewish and 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Arab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Bar Associations under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British rule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before 1948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>. The division took anothe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r form of separation between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Palestinian lawyers in the West Bank, Gaza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inside Israel between 1948 and 1967. Under Israeli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occupation (1967-1994), lawyers were partitioned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into three factions: striking lawyers affiliating with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Jordanian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Bar Association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>, practicing lawyers who formed the Arab Lawyers Union,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 Gaza lawyers who founded the Lawyers Society. Together these three bodies formed the transitional council of a Palestinian Bar in 1997. Since 2003 Bar election, lawyers have been unified under the '</w:t>
      </w:r>
      <w:r w:rsidRPr="004346D0">
        <w:rPr>
          <w:rFonts w:asciiTheme="majorBidi" w:hAnsiTheme="majorBidi" w:cstheme="majorBidi"/>
          <w:color w:val="000000" w:themeColor="text1"/>
          <w:sz w:val="24"/>
          <w:szCs w:val="24"/>
        </w:rPr>
        <w:t>Palestinia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 Bar Association', which has become a well-established body, notwithstanding all challenges facing not only the law profession but also the country as a whole.</w:t>
      </w:r>
    </w:p>
    <w:p w:rsidR="00E22F3E" w:rsidRDefault="00E22F3E" w:rsidP="00E22F3E">
      <w:pPr>
        <w:pBdr>
          <w:bottom w:val="single" w:sz="6" w:space="1" w:color="auto"/>
        </w:pBd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22F3E" w:rsidRDefault="00E22F3E" w:rsidP="00E22F3E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22F3E" w:rsidRPr="00567612" w:rsidRDefault="00E22F3E" w:rsidP="00E22F3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Key words: </w:t>
      </w:r>
      <w:r w:rsidRPr="005676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Palestinian lawyers, Bar Association,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5676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rofessional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567612">
        <w:rPr>
          <w:rFonts w:asciiTheme="majorBidi" w:hAnsiTheme="majorBidi" w:cstheme="majorBidi"/>
          <w:color w:val="000000" w:themeColor="text1"/>
          <w:sz w:val="24"/>
          <w:szCs w:val="24"/>
        </w:rPr>
        <w:t>esponsibility, legal ethics,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lawyers apprenticeship, bar exam, legal education, law clinics, and legal aid.</w:t>
      </w:r>
    </w:p>
    <w:p w:rsidR="00E22F3E" w:rsidRDefault="00E22F3E" w:rsidP="00E22F3E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22F3E" w:rsidRDefault="00E22F3E" w:rsidP="00E22F3E">
      <w:pPr>
        <w:bidi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C3736" w:rsidRPr="00E22F3E" w:rsidRDefault="00DC3736"/>
    <w:sectPr w:rsidR="00DC3736" w:rsidRPr="00E2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E"/>
    <w:rsid w:val="00DC3736"/>
    <w:rsid w:val="00E22F3E"/>
    <w:rsid w:val="00E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2</cp:revision>
  <dcterms:created xsi:type="dcterms:W3CDTF">2019-10-18T15:54:00Z</dcterms:created>
  <dcterms:modified xsi:type="dcterms:W3CDTF">2019-10-18T15:55:00Z</dcterms:modified>
</cp:coreProperties>
</file>